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C69" w:rsidRPr="00EE792B" w:rsidRDefault="005C0C69" w:rsidP="005C0C69">
      <w:pPr>
        <w:spacing w:after="0" w:line="240" w:lineRule="auto"/>
        <w:ind w:left="2835" w:right="1134" w:hanging="1134"/>
        <w:jc w:val="both"/>
        <w:rPr>
          <w:rFonts w:ascii="Tahoma" w:eastAsia="Times New Roman" w:hAnsi="Tahoma" w:cs="Tahoma"/>
          <w:i/>
          <w:sz w:val="18"/>
          <w:szCs w:val="18"/>
          <w:lang w:val="es-ES" w:eastAsia="es-ES"/>
        </w:rPr>
      </w:pPr>
      <w:bookmarkStart w:id="0" w:name="_GoBack"/>
      <w:bookmarkEnd w:id="0"/>
      <w:r w:rsidRPr="00EE792B">
        <w:rPr>
          <w:rFonts w:ascii="Tahoma" w:eastAsia="Times New Roman" w:hAnsi="Tahoma" w:cs="Tahoma"/>
          <w:b/>
          <w:sz w:val="20"/>
          <w:szCs w:val="20"/>
          <w:lang w:val="es-ES" w:eastAsia="es-ES"/>
        </w:rPr>
        <w:t xml:space="preserve">Sumilla   </w:t>
      </w:r>
      <w:r w:rsidRPr="00EE792B">
        <w:rPr>
          <w:rFonts w:ascii="Tahoma" w:eastAsia="Times New Roman" w:hAnsi="Tahoma" w:cs="Tahoma"/>
          <w:b/>
          <w:sz w:val="18"/>
          <w:szCs w:val="18"/>
          <w:lang w:val="es-ES" w:eastAsia="es-ES"/>
        </w:rPr>
        <w:t>:</w:t>
      </w:r>
      <w:r w:rsidRPr="00EE792B">
        <w:rPr>
          <w:rFonts w:ascii="Tahoma" w:eastAsia="Times New Roman" w:hAnsi="Tahoma" w:cs="Tahoma"/>
          <w:sz w:val="18"/>
          <w:szCs w:val="18"/>
          <w:lang w:val="es-ES" w:eastAsia="es-ES"/>
        </w:rPr>
        <w:t xml:space="preserve">  </w:t>
      </w:r>
      <w:r w:rsidRPr="00EE792B">
        <w:rPr>
          <w:rFonts w:ascii="Tahoma" w:eastAsia="Times New Roman" w:hAnsi="Tahoma" w:cs="Tahoma"/>
          <w:i/>
          <w:sz w:val="18"/>
          <w:szCs w:val="18"/>
          <w:lang w:val="es-ES" w:eastAsia="es-ES"/>
        </w:rPr>
        <w:tab/>
        <w:t>“</w:t>
      </w:r>
      <w:r w:rsidR="003825E3" w:rsidRPr="003825E3">
        <w:rPr>
          <w:rFonts w:ascii="Times New Roman" w:eastAsia="Times New Roman" w:hAnsi="Times New Roman"/>
          <w:i/>
          <w:sz w:val="20"/>
          <w:szCs w:val="20"/>
          <w:lang w:val="es-ES" w:eastAsia="es-ES"/>
        </w:rPr>
        <w:t>E</w:t>
      </w:r>
      <w:r w:rsidR="003825E3" w:rsidRPr="00151613">
        <w:rPr>
          <w:rFonts w:ascii="Times New Roman" w:eastAsia="Times New Roman" w:hAnsi="Times New Roman"/>
          <w:i/>
          <w:sz w:val="20"/>
          <w:szCs w:val="20"/>
          <w:lang w:val="es-ES" w:eastAsia="es-ES"/>
        </w:rPr>
        <w:t>n casos similares el Tribunal ha establecido que la impugnación presentada por el postor que fue adjudicado con el tercer lugar y que pretende la buena pro a la propuesta del que ocupó el primer lugar sin cuestionar la oferta del segundo, constituye causal de improcedencia</w:t>
      </w:r>
      <w:r w:rsidRPr="00EE792B">
        <w:rPr>
          <w:rFonts w:ascii="Tahoma" w:eastAsia="Times New Roman" w:hAnsi="Tahoma" w:cs="Tahoma"/>
          <w:i/>
          <w:sz w:val="18"/>
          <w:szCs w:val="18"/>
          <w:lang w:val="es-ES" w:eastAsia="es-ES"/>
        </w:rPr>
        <w:t>”.</w:t>
      </w:r>
    </w:p>
    <w:p w:rsidR="005C0C69" w:rsidRPr="00EE792B" w:rsidRDefault="005C0C69" w:rsidP="005C0C69">
      <w:pPr>
        <w:spacing w:after="0" w:line="240" w:lineRule="auto"/>
        <w:ind w:left="2268" w:right="1843"/>
        <w:jc w:val="both"/>
        <w:rPr>
          <w:rFonts w:ascii="Tahoma" w:eastAsia="Times New Roman" w:hAnsi="Tahoma" w:cs="Tahoma"/>
          <w:sz w:val="20"/>
          <w:szCs w:val="20"/>
          <w:lang w:val="es-ES" w:eastAsia="es-ES"/>
        </w:rPr>
      </w:pPr>
    </w:p>
    <w:p w:rsidR="005C0C69" w:rsidRPr="00EE792B" w:rsidRDefault="005C0C69" w:rsidP="005C0C69">
      <w:pPr>
        <w:spacing w:after="0" w:line="240" w:lineRule="auto"/>
        <w:ind w:left="2268" w:right="1843"/>
        <w:jc w:val="both"/>
        <w:rPr>
          <w:rFonts w:ascii="Times New Roman" w:eastAsia="Times New Roman" w:hAnsi="Times New Roman"/>
          <w:sz w:val="16"/>
          <w:szCs w:val="16"/>
          <w:lang w:val="es-ES" w:eastAsia="es-ES"/>
        </w:rPr>
      </w:pPr>
    </w:p>
    <w:p w:rsidR="005C0C69" w:rsidRPr="00EE792B" w:rsidRDefault="005C0C69" w:rsidP="005C0C69">
      <w:pPr>
        <w:spacing w:after="0" w:line="240" w:lineRule="auto"/>
        <w:ind w:left="2268" w:right="1843"/>
        <w:jc w:val="both"/>
        <w:rPr>
          <w:rFonts w:ascii="Times New Roman" w:eastAsia="Times New Roman" w:hAnsi="Times New Roman"/>
          <w:sz w:val="16"/>
          <w:szCs w:val="16"/>
          <w:lang w:val="es-ES" w:eastAsia="es-ES"/>
        </w:rPr>
      </w:pPr>
    </w:p>
    <w:p w:rsidR="005C0C69" w:rsidRPr="00EE792B" w:rsidRDefault="005C0C69" w:rsidP="005C0C69">
      <w:pPr>
        <w:spacing w:after="0" w:line="240" w:lineRule="auto"/>
        <w:ind w:left="2268" w:right="1843"/>
        <w:jc w:val="both"/>
        <w:rPr>
          <w:rFonts w:ascii="Times New Roman" w:eastAsia="Times New Roman" w:hAnsi="Times New Roman"/>
          <w:b/>
          <w:sz w:val="16"/>
          <w:szCs w:val="16"/>
          <w:lang w:val="es-ES" w:eastAsia="es-ES"/>
        </w:rPr>
      </w:pPr>
    </w:p>
    <w:p w:rsidR="005C0C69" w:rsidRPr="00931D4B" w:rsidRDefault="00931D4B" w:rsidP="00931D4B">
      <w:pPr>
        <w:pStyle w:val="Textoindependiente3"/>
        <w:spacing w:after="0"/>
        <w:ind w:left="3540" w:right="44" w:firstLine="708"/>
        <w:jc w:val="right"/>
        <w:rPr>
          <w:rFonts w:ascii="Tahoma" w:hAnsi="Tahoma" w:cs="Tahoma"/>
          <w:b/>
          <w:sz w:val="22"/>
          <w:szCs w:val="22"/>
        </w:rPr>
      </w:pPr>
      <w:r w:rsidRPr="007D6BA3">
        <w:rPr>
          <w:rFonts w:ascii="Tahoma" w:hAnsi="Tahoma" w:cs="Tahoma"/>
          <w:b/>
          <w:sz w:val="22"/>
          <w:szCs w:val="22"/>
        </w:rPr>
        <w:t>Lima,</w:t>
      </w:r>
      <w:r>
        <w:rPr>
          <w:rFonts w:ascii="Tahoma" w:hAnsi="Tahoma" w:cs="Tahoma"/>
          <w:b/>
          <w:sz w:val="22"/>
          <w:szCs w:val="22"/>
        </w:rPr>
        <w:t xml:space="preserve"> 19 de Setiembre de 2011</w:t>
      </w:r>
    </w:p>
    <w:p w:rsidR="005C0C69" w:rsidRPr="00EE792B" w:rsidRDefault="005C0C69" w:rsidP="005C0C69">
      <w:pPr>
        <w:spacing w:after="0" w:line="240" w:lineRule="auto"/>
        <w:ind w:left="4956" w:firstLine="708"/>
        <w:jc w:val="right"/>
        <w:rPr>
          <w:rFonts w:ascii="Tahoma" w:eastAsia="Batang" w:hAnsi="Tahoma" w:cs="Tahoma"/>
          <w:b/>
          <w:color w:val="FFFFFF"/>
          <w:sz w:val="20"/>
          <w:szCs w:val="20"/>
          <w:lang w:eastAsia="es-ES"/>
        </w:rPr>
      </w:pPr>
      <w:r w:rsidRPr="00EE792B">
        <w:rPr>
          <w:rFonts w:ascii="Tahoma" w:eastAsia="Batang" w:hAnsi="Tahoma" w:cs="Tahoma"/>
          <w:b/>
          <w:color w:val="FFFFFF"/>
          <w:sz w:val="20"/>
          <w:szCs w:val="20"/>
          <w:lang w:eastAsia="es-ES"/>
        </w:rPr>
        <w:t xml:space="preserve">Lima, 05 de mayo de 2010   </w:t>
      </w:r>
    </w:p>
    <w:p w:rsidR="005C0C69" w:rsidRPr="00EE792B" w:rsidRDefault="005C0C69" w:rsidP="005C0C69">
      <w:pPr>
        <w:spacing w:after="0" w:line="240" w:lineRule="auto"/>
        <w:jc w:val="right"/>
        <w:rPr>
          <w:rFonts w:ascii="Tahoma" w:eastAsia="Batang" w:hAnsi="Tahoma" w:cs="Tahoma"/>
          <w:sz w:val="20"/>
          <w:szCs w:val="20"/>
          <w:lang w:val="es-ES" w:eastAsia="es-ES"/>
        </w:rPr>
      </w:pPr>
    </w:p>
    <w:p w:rsidR="005C0C69" w:rsidRPr="003825E3" w:rsidRDefault="005C0C69" w:rsidP="005C0C69">
      <w:pPr>
        <w:spacing w:after="0" w:line="240" w:lineRule="auto"/>
        <w:rPr>
          <w:rFonts w:ascii="Tahoma" w:eastAsia="Batang" w:hAnsi="Tahoma" w:cs="Tahoma"/>
          <w:lang w:val="es-ES" w:eastAsia="es-ES"/>
        </w:rPr>
      </w:pPr>
    </w:p>
    <w:p w:rsidR="005C0C69" w:rsidRPr="003825E3" w:rsidRDefault="005C0C69" w:rsidP="005C0C69">
      <w:pPr>
        <w:tabs>
          <w:tab w:val="left" w:pos="0"/>
          <w:tab w:val="left" w:pos="1287"/>
        </w:tabs>
        <w:autoSpaceDE w:val="0"/>
        <w:autoSpaceDN w:val="0"/>
        <w:adjustRightInd w:val="0"/>
        <w:spacing w:after="0" w:line="240" w:lineRule="auto"/>
        <w:jc w:val="both"/>
        <w:rPr>
          <w:rFonts w:ascii="Tahoma" w:eastAsia="Times New Roman" w:hAnsi="Tahoma" w:cs="Tahoma"/>
          <w:lang w:val="es-ES" w:eastAsia="es-ES"/>
        </w:rPr>
      </w:pPr>
      <w:r w:rsidRPr="003825E3">
        <w:rPr>
          <w:rFonts w:ascii="Tahoma" w:eastAsia="Times New Roman" w:hAnsi="Tahoma" w:cs="Tahoma"/>
          <w:b/>
          <w:lang w:val="es-ES" w:eastAsia="es-ES"/>
        </w:rPr>
        <w:t>Visto</w:t>
      </w:r>
      <w:r w:rsidRPr="003825E3">
        <w:rPr>
          <w:rFonts w:ascii="Tahoma" w:eastAsia="Times New Roman" w:hAnsi="Tahoma" w:cs="Tahoma"/>
          <w:lang w:val="es-ES" w:eastAsia="es-ES"/>
        </w:rPr>
        <w:t xml:space="preserve"> en sesión de fecha </w:t>
      </w:r>
      <w:r w:rsidR="003825E3">
        <w:rPr>
          <w:rFonts w:ascii="Tahoma" w:eastAsia="Times New Roman" w:hAnsi="Tahoma" w:cs="Tahoma"/>
          <w:lang w:val="es-ES" w:eastAsia="es-ES"/>
        </w:rPr>
        <w:t>19</w:t>
      </w:r>
      <w:r w:rsidRPr="003825E3">
        <w:rPr>
          <w:rFonts w:ascii="Tahoma" w:eastAsia="Times New Roman" w:hAnsi="Tahoma" w:cs="Tahoma"/>
          <w:lang w:val="es-ES" w:eastAsia="es-ES"/>
        </w:rPr>
        <w:t xml:space="preserve"> de Septiembre de 2011 de la Primera Sala del Tribunal de Contrataciones del Estado, el Expediente N° </w:t>
      </w:r>
      <w:r w:rsidR="003825E3">
        <w:rPr>
          <w:rFonts w:ascii="Tahoma" w:eastAsia="Times New Roman" w:hAnsi="Tahoma" w:cs="Tahoma"/>
          <w:lang w:val="es-ES" w:eastAsia="es-ES"/>
        </w:rPr>
        <w:t>988</w:t>
      </w:r>
      <w:r w:rsidRPr="003825E3">
        <w:rPr>
          <w:rFonts w:ascii="Tahoma" w:eastAsia="Times New Roman" w:hAnsi="Tahoma" w:cs="Tahoma"/>
          <w:lang w:val="es-ES" w:eastAsia="es-ES"/>
        </w:rPr>
        <w:t xml:space="preserve">.2011.TC sobre el Recurso de Apelación interpuesto por </w:t>
      </w:r>
      <w:r w:rsidR="003825E3">
        <w:rPr>
          <w:rFonts w:ascii="Tahoma" w:eastAsia="Times New Roman" w:hAnsi="Tahoma" w:cs="Tahoma"/>
          <w:lang w:val="es-ES" w:eastAsia="es-ES"/>
        </w:rPr>
        <w:t xml:space="preserve">la </w:t>
      </w:r>
      <w:r w:rsidRPr="003825E3">
        <w:rPr>
          <w:rFonts w:ascii="Tahoma" w:hAnsi="Tahoma" w:cs="Tahoma"/>
        </w:rPr>
        <w:t xml:space="preserve">empresa </w:t>
      </w:r>
      <w:r w:rsidR="003825E3" w:rsidRPr="005C0C69">
        <w:rPr>
          <w:rFonts w:ascii="Tahoma" w:eastAsia="Times New Roman" w:hAnsi="Tahoma" w:cs="Tahoma"/>
          <w:b/>
          <w:bCs/>
          <w:lang w:val="es-ES" w:eastAsia="es-ES"/>
        </w:rPr>
        <w:t>NORDIC PHARMACEUTICAL COMPANY S.A.C.</w:t>
      </w:r>
      <w:r w:rsidRPr="003825E3">
        <w:rPr>
          <w:rFonts w:ascii="Tahoma" w:eastAsia="Times New Roman" w:hAnsi="Tahoma" w:cs="Tahoma"/>
          <w:b/>
          <w:lang w:val="es-ES" w:eastAsia="es-ES"/>
        </w:rPr>
        <w:t xml:space="preserve">, </w:t>
      </w:r>
      <w:r w:rsidRPr="003825E3">
        <w:rPr>
          <w:rFonts w:ascii="Tahoma" w:hAnsi="Tahoma" w:cs="Tahoma"/>
        </w:rPr>
        <w:t>contra</w:t>
      </w:r>
      <w:r w:rsidR="003825E3" w:rsidRPr="003825E3">
        <w:rPr>
          <w:rFonts w:ascii="Tahoma" w:eastAsia="Times New Roman" w:hAnsi="Tahoma" w:cs="Tahoma"/>
          <w:lang w:val="es-ES" w:eastAsia="es-ES"/>
        </w:rPr>
        <w:t xml:space="preserve"> </w:t>
      </w:r>
      <w:r w:rsidR="003825E3" w:rsidRPr="005C0C69">
        <w:rPr>
          <w:rFonts w:ascii="Tahoma" w:eastAsia="Times New Roman" w:hAnsi="Tahoma" w:cs="Tahoma"/>
          <w:lang w:val="es-ES" w:eastAsia="es-ES"/>
        </w:rPr>
        <w:t>el otorgamiento de la Buena Pro respecto del ítem Nro 40 a la empresa ALBIS S.A., asimismo solicita se le otorgue la Buena Pro, respecto del ítem impugnado a su representada</w:t>
      </w:r>
      <w:r w:rsidR="003825E3">
        <w:rPr>
          <w:rFonts w:ascii="Tahoma" w:hAnsi="Tahoma" w:cs="Tahoma"/>
        </w:rPr>
        <w:t xml:space="preserve">, respecto </w:t>
      </w:r>
      <w:r w:rsidRPr="003825E3">
        <w:rPr>
          <w:rFonts w:ascii="Tahoma" w:hAnsi="Tahoma" w:cs="Tahoma"/>
        </w:rPr>
        <w:t xml:space="preserve">de </w:t>
      </w:r>
      <w:r w:rsidR="003825E3" w:rsidRPr="005C0C69">
        <w:rPr>
          <w:rFonts w:ascii="Tahoma" w:eastAsia="Times New Roman" w:hAnsi="Tahoma" w:cs="Tahoma"/>
          <w:lang w:val="es-ES" w:eastAsia="es-ES"/>
        </w:rPr>
        <w:t>la Licitación Pública Nº 011-2010/ESSALUD/GCL</w:t>
      </w:r>
      <w:r w:rsidR="003825E3" w:rsidRPr="005C0C69">
        <w:rPr>
          <w:rFonts w:ascii="Tahoma" w:eastAsia="MS Mincho" w:hAnsi="Tahoma" w:cs="Tahoma"/>
          <w:lang w:val="es-ES" w:eastAsia="es-ES"/>
        </w:rPr>
        <w:t xml:space="preserve"> (Primera Convocatoria), por relación de Ítems </w:t>
      </w:r>
      <w:r w:rsidR="003825E3" w:rsidRPr="005C0C69">
        <w:rPr>
          <w:rFonts w:ascii="Tahoma" w:eastAsia="Times New Roman" w:hAnsi="Tahoma" w:cs="Tahoma"/>
          <w:lang w:val="es-ES" w:eastAsia="es-ES"/>
        </w:rPr>
        <w:t>para la “contratación del suministro de Medicamentos para las Redes Asistenciales  de Essalud a Nivel Nacional”</w:t>
      </w:r>
      <w:r w:rsidRPr="003825E3">
        <w:rPr>
          <w:rFonts w:ascii="Tahoma" w:eastAsia="Times New Roman" w:hAnsi="Tahoma" w:cs="Tahoma"/>
          <w:lang w:val="es-ES" w:eastAsia="es-ES"/>
        </w:rPr>
        <w:t xml:space="preserve">; efectuado los informes orales, y atendiendo a los siguientes:   </w:t>
      </w:r>
    </w:p>
    <w:p w:rsidR="005C0C69" w:rsidRPr="003825E3" w:rsidRDefault="005C0C69" w:rsidP="005C0C69">
      <w:pPr>
        <w:spacing w:after="0" w:line="240" w:lineRule="auto"/>
        <w:rPr>
          <w:rFonts w:ascii="Tahoma" w:eastAsia="Times New Roman" w:hAnsi="Tahoma" w:cs="Tahoma"/>
          <w:b/>
          <w:lang w:val="es-ES" w:eastAsia="es-ES"/>
        </w:rPr>
      </w:pPr>
    </w:p>
    <w:p w:rsidR="005C0C69" w:rsidRPr="003825E3" w:rsidRDefault="005C0C69" w:rsidP="005C0C69">
      <w:pPr>
        <w:spacing w:after="0" w:line="240" w:lineRule="auto"/>
        <w:ind w:firstLine="708"/>
        <w:rPr>
          <w:rFonts w:ascii="Tahoma" w:eastAsia="Times New Roman" w:hAnsi="Tahoma" w:cs="Tahoma"/>
          <w:b/>
          <w:lang w:val="es-ES" w:eastAsia="es-ES"/>
        </w:rPr>
      </w:pPr>
      <w:r w:rsidRPr="003825E3">
        <w:rPr>
          <w:rFonts w:ascii="Tahoma" w:eastAsia="Times New Roman" w:hAnsi="Tahoma" w:cs="Tahoma"/>
          <w:b/>
          <w:lang w:val="es-ES" w:eastAsia="es-ES"/>
        </w:rPr>
        <w:t>ANTECEDENTES:</w:t>
      </w:r>
    </w:p>
    <w:p w:rsidR="005C0C69" w:rsidRPr="003825E3" w:rsidRDefault="005C0C69" w:rsidP="005C0C69">
      <w:pPr>
        <w:spacing w:after="0" w:line="240" w:lineRule="auto"/>
        <w:ind w:firstLine="708"/>
        <w:rPr>
          <w:rFonts w:ascii="Tahoma" w:eastAsia="Times New Roman" w:hAnsi="Tahoma" w:cs="Tahoma"/>
          <w:b/>
          <w:lang w:val="es-ES" w:eastAsia="es-ES"/>
        </w:rPr>
      </w:pPr>
    </w:p>
    <w:p w:rsidR="005C0C69" w:rsidRPr="005C0C69" w:rsidRDefault="005C0C69" w:rsidP="005C0C69">
      <w:pPr>
        <w:numPr>
          <w:ilvl w:val="0"/>
          <w:numId w:val="2"/>
        </w:numPr>
        <w:suppressAutoHyphens/>
        <w:spacing w:after="0" w:line="240" w:lineRule="auto"/>
        <w:ind w:left="567" w:hanging="567"/>
        <w:jc w:val="both"/>
        <w:rPr>
          <w:rFonts w:ascii="Tahoma" w:eastAsia="MS Mincho" w:hAnsi="Tahoma" w:cs="Tahoma"/>
          <w:lang w:val="es-ES" w:eastAsia="es-ES"/>
        </w:rPr>
      </w:pPr>
      <w:r w:rsidRPr="005C0C69">
        <w:rPr>
          <w:rFonts w:ascii="Tahoma" w:eastAsia="Times New Roman" w:hAnsi="Tahoma" w:cs="Tahoma"/>
          <w:lang w:val="es-ES" w:eastAsia="es-ES"/>
        </w:rPr>
        <w:t>El 30 de Diciembre del 2010, el SEGURO SOCIAL DE SALUD - ESSALUD, en lo sucesivo La Entidad, convocó la Licitación Pública Nº 011-2010/ESSALUD/GCL</w:t>
      </w:r>
      <w:r w:rsidRPr="005C0C69">
        <w:rPr>
          <w:rFonts w:ascii="Tahoma" w:eastAsia="MS Mincho" w:hAnsi="Tahoma" w:cs="Tahoma"/>
          <w:lang w:val="es-ES" w:eastAsia="es-ES"/>
        </w:rPr>
        <w:t xml:space="preserve"> (Primera Convocatoria), por relación de Ítems </w:t>
      </w:r>
      <w:r w:rsidRPr="005C0C69">
        <w:rPr>
          <w:rFonts w:ascii="Tahoma" w:eastAsia="Times New Roman" w:hAnsi="Tahoma" w:cs="Tahoma"/>
          <w:lang w:val="es-ES" w:eastAsia="es-ES"/>
        </w:rPr>
        <w:t>para la “contratación del suministro de Medicamentos para las Redes Asistenciales  de Essalud a Nivel Nacional”, por un valor referencial ascendente a</w:t>
      </w:r>
      <w:r w:rsidRPr="005C0C69">
        <w:rPr>
          <w:rFonts w:ascii="Tahoma" w:eastAsia="MS Mincho" w:hAnsi="Tahoma" w:cs="Tahoma"/>
          <w:lang w:val="es-ES" w:eastAsia="es-ES"/>
        </w:rPr>
        <w:t xml:space="preserve"> S/.</w:t>
      </w:r>
      <w:r w:rsidRPr="005C0C69">
        <w:rPr>
          <w:rFonts w:ascii="Tahoma" w:eastAsia="Times New Roman" w:hAnsi="Tahoma" w:cs="Tahoma"/>
          <w:lang w:val="es-ES" w:eastAsia="es-ES"/>
        </w:rPr>
        <w:t xml:space="preserve"> 103’840,194.40 (Ciento tres Millones Ochocientos Cuarenta Mil Ciento Noventa y Cuatro con 40/100 Nuevos Soles).</w:t>
      </w:r>
    </w:p>
    <w:p w:rsidR="005C0C69" w:rsidRPr="005C0C69" w:rsidRDefault="005C0C69" w:rsidP="005C0C69">
      <w:pPr>
        <w:suppressAutoHyphens/>
        <w:spacing w:after="0" w:line="240" w:lineRule="auto"/>
        <w:ind w:left="567" w:hanging="567"/>
        <w:jc w:val="both"/>
        <w:rPr>
          <w:rFonts w:ascii="Tahoma" w:eastAsia="MS Mincho" w:hAnsi="Tahoma" w:cs="Tahoma"/>
          <w:lang w:val="es-ES" w:eastAsia="es-ES"/>
        </w:rPr>
      </w:pPr>
    </w:p>
    <w:p w:rsidR="005C0C69" w:rsidRPr="005C0C69" w:rsidRDefault="005C0C69" w:rsidP="005C0C69">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lang w:val="es-ES" w:eastAsia="es-ES"/>
        </w:rPr>
        <w:t xml:space="preserve">El 30 de Mayo de 2011, se integraron las bases. </w:t>
      </w:r>
    </w:p>
    <w:p w:rsidR="005C0C69" w:rsidRPr="005C0C69" w:rsidRDefault="005C0C69" w:rsidP="005C0C69">
      <w:pPr>
        <w:spacing w:after="0" w:line="240" w:lineRule="auto"/>
        <w:ind w:left="567" w:hanging="567"/>
        <w:rPr>
          <w:rFonts w:ascii="Tahoma" w:eastAsia="Times New Roman" w:hAnsi="Tahoma" w:cs="Tahoma"/>
          <w:lang w:val="es-ES" w:eastAsia="es-ES"/>
        </w:rPr>
      </w:pPr>
    </w:p>
    <w:p w:rsidR="005C0C69" w:rsidRPr="005C0C69" w:rsidRDefault="005C0C69" w:rsidP="005C0C69">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lang w:val="es-ES" w:eastAsia="es-ES"/>
        </w:rPr>
        <w:t>El 07 de Junio de 20110, se llevó a cabo el acto público mediante el cual  presentaron las propuestas técnicas para el Ítem Nro 40 (</w:t>
      </w:r>
      <w:r w:rsidRPr="005C0C69">
        <w:rPr>
          <w:rFonts w:ascii="Tahoma" w:eastAsia="Times New Roman" w:hAnsi="Tahoma" w:cs="Tahoma"/>
          <w:color w:val="000000"/>
          <w:lang w:val="es-ES" w:eastAsia="es-ES"/>
        </w:rPr>
        <w:t>Sirolimus 1 mg</w:t>
      </w:r>
      <w:r w:rsidRPr="005C0C69">
        <w:rPr>
          <w:rFonts w:ascii="Tahoma" w:eastAsia="Times New Roman" w:hAnsi="Tahoma" w:cs="Tahoma"/>
          <w:lang w:val="es-ES" w:eastAsia="es-ES"/>
        </w:rPr>
        <w:t>) cuyo valor referencial asciende a S./</w:t>
      </w:r>
      <w:r w:rsidRPr="005C0C69">
        <w:rPr>
          <w:rFonts w:ascii="Tahoma" w:eastAsia="Times New Roman" w:hAnsi="Tahoma" w:cs="Tahoma"/>
          <w:b/>
          <w:bCs/>
          <w:lang w:eastAsia="es-PE"/>
        </w:rPr>
        <w:t xml:space="preserve"> </w:t>
      </w:r>
      <w:r w:rsidRPr="005C0C69">
        <w:rPr>
          <w:rFonts w:ascii="Tahoma" w:eastAsia="Times New Roman" w:hAnsi="Tahoma" w:cs="Tahoma"/>
          <w:bCs/>
          <w:lang w:val="es-ES" w:eastAsia="es-ES"/>
        </w:rPr>
        <w:t xml:space="preserve">2,224,003.20 </w:t>
      </w:r>
      <w:r w:rsidRPr="005C0C69">
        <w:rPr>
          <w:rFonts w:ascii="Tahoma" w:eastAsia="Times New Roman" w:hAnsi="Tahoma" w:cs="Tahoma"/>
          <w:lang w:val="es-ES" w:eastAsia="es-ES"/>
        </w:rPr>
        <w:t xml:space="preserve"> (Dos Millones Doscientos Veinticuatro Mil Tres  Con 20/100 Nuevos Soles</w:t>
      </w:r>
      <w:r w:rsidRPr="005C0C69">
        <w:rPr>
          <w:rFonts w:ascii="Tahoma" w:eastAsia="Times New Roman" w:hAnsi="Tahoma" w:cs="Tahoma"/>
          <w:bCs/>
          <w:lang w:val="es-ES" w:eastAsia="es-ES"/>
        </w:rPr>
        <w:t>).</w:t>
      </w:r>
    </w:p>
    <w:p w:rsidR="005C0C69" w:rsidRPr="005C0C69" w:rsidRDefault="005C0C69" w:rsidP="005C0C69">
      <w:pPr>
        <w:spacing w:after="0" w:line="240" w:lineRule="auto"/>
        <w:ind w:left="567" w:hanging="567"/>
        <w:rPr>
          <w:rFonts w:ascii="Tahoma" w:eastAsia="Times New Roman" w:hAnsi="Tahoma" w:cs="Tahoma"/>
          <w:lang w:val="es-ES" w:eastAsia="es-ES"/>
        </w:rPr>
      </w:pPr>
    </w:p>
    <w:p w:rsidR="005C0C69" w:rsidRPr="005C0C69" w:rsidRDefault="005C0C69" w:rsidP="005C0C69">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bCs/>
          <w:lang w:val="es-ES" w:eastAsia="es-ES"/>
        </w:rPr>
        <w:t>Para este Ítem, se presentaron: (i) ALBIS S.A., (ii) CONSORCIO PFIZER S.A. – LABORATORIOS WYETH S.A., y (iii) NORDIC PHARMACEUTICAL COMPANY S.A.C.</w:t>
      </w:r>
    </w:p>
    <w:p w:rsidR="005C0C69" w:rsidRPr="005C0C69" w:rsidRDefault="005C0C69" w:rsidP="005C0C69">
      <w:pPr>
        <w:spacing w:after="0" w:line="240" w:lineRule="auto"/>
        <w:ind w:left="567" w:hanging="567"/>
        <w:rPr>
          <w:rFonts w:ascii="Tahoma" w:eastAsia="Times New Roman" w:hAnsi="Tahoma" w:cs="Tahoma"/>
          <w:lang w:val="es-ES" w:eastAsia="es-ES"/>
        </w:rPr>
      </w:pPr>
    </w:p>
    <w:p w:rsidR="005C0C69" w:rsidRPr="005C0C69" w:rsidRDefault="005C0C69" w:rsidP="005C0C69">
      <w:pPr>
        <w:numPr>
          <w:ilvl w:val="0"/>
          <w:numId w:val="2"/>
        </w:numPr>
        <w:tabs>
          <w:tab w:val="left" w:pos="2694"/>
        </w:tabs>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lang w:val="es-ES" w:eastAsia="es-ES"/>
        </w:rPr>
        <w:lastRenderedPageBreak/>
        <w:t>El 07 de Julio de 2011, se publicó en el Sistema Electrónico de Adquisiciones y Contrataciones del Estado – SEACE el acta de otorgamiento de la Buena Pro, del ítem 40, siendo adjudicada la empresa</w:t>
      </w:r>
      <w:r w:rsidRPr="005C0C69">
        <w:rPr>
          <w:rFonts w:ascii="Tahoma" w:eastAsia="Times New Roman" w:hAnsi="Tahoma" w:cs="Tahoma"/>
          <w:bCs/>
          <w:lang w:val="es-ES" w:eastAsia="es-ES"/>
        </w:rPr>
        <w:t xml:space="preserve"> ALBIS S.A.</w:t>
      </w:r>
    </w:p>
    <w:p w:rsidR="005C0C69" w:rsidRPr="005C0C69" w:rsidRDefault="005C0C69" w:rsidP="005C0C69">
      <w:pPr>
        <w:spacing w:after="0" w:line="240" w:lineRule="auto"/>
        <w:ind w:left="708" w:hanging="567"/>
        <w:rPr>
          <w:rFonts w:ascii="Tahoma" w:eastAsia="Times New Roman" w:hAnsi="Tahoma" w:cs="Tahoma"/>
          <w:lang w:val="es-ES" w:eastAsia="es-ES"/>
        </w:rPr>
      </w:pPr>
    </w:p>
    <w:p w:rsidR="005C0C69" w:rsidRPr="005C0C69" w:rsidRDefault="005C0C69" w:rsidP="005C0C69">
      <w:pPr>
        <w:numPr>
          <w:ilvl w:val="0"/>
          <w:numId w:val="2"/>
        </w:numPr>
        <w:spacing w:after="0" w:line="240" w:lineRule="auto"/>
        <w:ind w:left="540" w:hanging="567"/>
        <w:jc w:val="both"/>
        <w:rPr>
          <w:rFonts w:ascii="Tahoma" w:eastAsia="Times New Roman" w:hAnsi="Tahoma" w:cs="Tahoma"/>
          <w:lang w:val="es-ES" w:eastAsia="es-ES"/>
        </w:rPr>
      </w:pPr>
      <w:r w:rsidRPr="005C0C69">
        <w:rPr>
          <w:rFonts w:ascii="Tahoma" w:eastAsia="Times New Roman" w:hAnsi="Tahoma" w:cs="Tahoma"/>
          <w:lang w:val="es-ES" w:eastAsia="es-ES"/>
        </w:rPr>
        <w:t>Posteriormente, mediante escrito presentado el 19 de Julio de 2011, la empresa NORDIC PHARMACEUTICAL COMPANY S.A.C., en adelante el Impugnante, interpuso recurso de apelación contra  el otorgamiento de la Buena Pro respecto del ítem Nro 40 a la empresa ALBIS S.A., asimismo solicita se le otorgue la Buena Pro, respecto del ítem impugnado a su representada, ello en razón a los siguientes argumentos:</w:t>
      </w:r>
    </w:p>
    <w:p w:rsidR="005C0C69" w:rsidRPr="005C0C69" w:rsidRDefault="005C0C69" w:rsidP="005C0C69">
      <w:pPr>
        <w:spacing w:after="0" w:line="240" w:lineRule="auto"/>
        <w:ind w:left="708"/>
        <w:rPr>
          <w:rFonts w:ascii="Tahoma" w:eastAsia="Times New Roman" w:hAnsi="Tahoma" w:cs="Tahoma"/>
          <w:lang w:val="es-ES" w:eastAsia="es-ES"/>
        </w:rPr>
      </w:pPr>
    </w:p>
    <w:p w:rsidR="005C0C69" w:rsidRPr="005C0C69" w:rsidRDefault="005C0C69" w:rsidP="005C0C69">
      <w:pPr>
        <w:spacing w:after="0" w:line="240" w:lineRule="auto"/>
        <w:ind w:firstLine="567"/>
        <w:rPr>
          <w:rFonts w:ascii="Tahoma" w:eastAsia="Times New Roman" w:hAnsi="Tahoma" w:cs="Tahoma"/>
          <w:lang w:val="es-ES" w:eastAsia="es-ES"/>
        </w:rPr>
      </w:pPr>
      <w:r w:rsidRPr="005C0C69">
        <w:rPr>
          <w:rFonts w:ascii="Tahoma" w:eastAsia="Times New Roman" w:hAnsi="Tahoma" w:cs="Tahoma"/>
          <w:lang w:val="es-ES" w:eastAsia="es-ES"/>
        </w:rPr>
        <w:t>“(…)</w:t>
      </w:r>
    </w:p>
    <w:p w:rsidR="005C0C69" w:rsidRPr="005C0C69" w:rsidRDefault="005C0C69" w:rsidP="005C0C69">
      <w:pPr>
        <w:numPr>
          <w:ilvl w:val="0"/>
          <w:numId w:val="3"/>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De las Bases Integradas del presente Proceso de Selección se puede extraer lo siguiente:</w:t>
      </w:r>
    </w:p>
    <w:p w:rsidR="005C0C69" w:rsidRPr="005C0C69" w:rsidRDefault="005C0C69" w:rsidP="005C0C69">
      <w:pPr>
        <w:spacing w:after="0" w:line="240" w:lineRule="auto"/>
        <w:ind w:left="1134"/>
        <w:jc w:val="both"/>
        <w:rPr>
          <w:rFonts w:ascii="Tahoma" w:eastAsia="Times New Roman" w:hAnsi="Tahoma" w:cs="Tahoma"/>
          <w:i/>
          <w:lang w:val="es-ES" w:eastAsia="es-ES"/>
        </w:rPr>
      </w:pPr>
      <w:r w:rsidRPr="005C0C69">
        <w:rPr>
          <w:rFonts w:ascii="Tahoma" w:eastAsia="Times New Roman" w:hAnsi="Tahoma" w:cs="Tahoma"/>
          <w:i/>
          <w:lang w:val="es-ES" w:eastAsia="es-ES"/>
        </w:rPr>
        <w:t>Que en el capítulo II, numeral 2.5 del Contenido de las Propuestas, se especifica en 2.5.1 la documentación de presentación obligatoria, que los postores deberán incluir en sus propuestas técnicas a fin que estas sean admitidas.</w:t>
      </w:r>
    </w:p>
    <w:p w:rsidR="005C0C69" w:rsidRPr="005C0C69" w:rsidRDefault="005C0C69" w:rsidP="005C0C69">
      <w:pPr>
        <w:spacing w:after="0" w:line="240" w:lineRule="auto"/>
        <w:ind w:left="1134"/>
        <w:jc w:val="both"/>
        <w:rPr>
          <w:rFonts w:ascii="Tahoma" w:eastAsia="Times New Roman" w:hAnsi="Tahoma" w:cs="Tahoma"/>
          <w:i/>
          <w:lang w:val="es-ES" w:eastAsia="es-ES"/>
        </w:rPr>
      </w:pPr>
    </w:p>
    <w:p w:rsidR="005C0C69" w:rsidRPr="005C0C69" w:rsidRDefault="005C0C69" w:rsidP="005C0C69">
      <w:pPr>
        <w:spacing w:after="0" w:line="240" w:lineRule="auto"/>
        <w:ind w:left="1134"/>
        <w:jc w:val="both"/>
        <w:rPr>
          <w:rFonts w:ascii="Tahoma" w:eastAsia="Times New Roman" w:hAnsi="Tahoma" w:cs="Tahoma"/>
          <w:i/>
          <w:lang w:val="es-ES" w:eastAsia="es-ES"/>
        </w:rPr>
      </w:pPr>
      <w:r w:rsidRPr="005C0C69">
        <w:rPr>
          <w:rFonts w:ascii="Tahoma" w:eastAsia="Times New Roman" w:hAnsi="Tahoma" w:cs="Tahoma"/>
          <w:i/>
          <w:lang w:val="es-ES" w:eastAsia="es-ES"/>
        </w:rPr>
        <w:t>Así tenemos en el literal i) tenemos como RTM “Registro Sanitario o Certificado de Registro Sanitario”, y en el literal j) encontramos “Protocolo y/o Certificado de Análisis” como RTM (Requisito Técnico Mínimo).</w:t>
      </w:r>
    </w:p>
    <w:p w:rsidR="005C0C69" w:rsidRPr="005C0C69" w:rsidRDefault="005C0C69" w:rsidP="005C0C69">
      <w:pPr>
        <w:spacing w:after="0" w:line="240" w:lineRule="auto"/>
        <w:ind w:left="1134"/>
        <w:jc w:val="both"/>
        <w:rPr>
          <w:rFonts w:ascii="Tahoma" w:eastAsia="Times New Roman" w:hAnsi="Tahoma" w:cs="Tahoma"/>
          <w:i/>
          <w:lang w:val="es-ES" w:eastAsia="es-ES"/>
        </w:rPr>
      </w:pPr>
    </w:p>
    <w:p w:rsidR="005C0C69" w:rsidRPr="005C0C69" w:rsidRDefault="005C0C69" w:rsidP="005C0C69">
      <w:pPr>
        <w:numPr>
          <w:ilvl w:val="0"/>
          <w:numId w:val="3"/>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Que el literal C del Capítulo III de las Bases Integradas del proceso, está referido a las condiciones generales del suministro y en su numera 3.9, este cuerpo legal señala:</w:t>
      </w:r>
    </w:p>
    <w:p w:rsidR="005C0C69" w:rsidRPr="005C0C69" w:rsidRDefault="005C0C69" w:rsidP="005C0C69">
      <w:pPr>
        <w:spacing w:after="0" w:line="240" w:lineRule="auto"/>
        <w:ind w:left="1134"/>
        <w:jc w:val="both"/>
        <w:rPr>
          <w:rFonts w:ascii="Tahoma" w:eastAsia="Times New Roman" w:hAnsi="Tahoma" w:cs="Tahoma"/>
          <w:i/>
          <w:lang w:val="es-ES" w:eastAsia="es-ES"/>
        </w:rPr>
      </w:pPr>
    </w:p>
    <w:p w:rsidR="005C0C69" w:rsidRPr="005C0C69" w:rsidRDefault="005C0C69" w:rsidP="005C0C69">
      <w:pPr>
        <w:numPr>
          <w:ilvl w:val="1"/>
          <w:numId w:val="8"/>
        </w:numPr>
        <w:spacing w:after="0" w:line="240" w:lineRule="auto"/>
        <w:jc w:val="both"/>
        <w:rPr>
          <w:rFonts w:ascii="Tahoma" w:eastAsia="Times New Roman" w:hAnsi="Tahoma" w:cs="Tahoma"/>
          <w:i/>
          <w:lang w:val="es-ES" w:eastAsia="es-ES"/>
        </w:rPr>
      </w:pPr>
      <w:r w:rsidRPr="005C0C69">
        <w:rPr>
          <w:rFonts w:ascii="Tahoma" w:eastAsia="Times New Roman" w:hAnsi="Tahoma" w:cs="Tahoma"/>
          <w:b/>
          <w:i/>
          <w:lang w:val="es-ES" w:eastAsia="es-ES"/>
        </w:rPr>
        <w:t>Adicionalmente el medicamente debe cumplir estrictamente las Especificaciones Técnicas señaladas y aprobadas en el proceso del Registro Sanitario del medicamento</w:t>
      </w:r>
      <w:r w:rsidRPr="005C0C69">
        <w:rPr>
          <w:rFonts w:ascii="Tahoma" w:eastAsia="Times New Roman" w:hAnsi="Tahoma" w:cs="Tahoma"/>
          <w:i/>
          <w:lang w:val="es-ES" w:eastAsia="es-ES"/>
        </w:rPr>
        <w:t>.</w:t>
      </w:r>
    </w:p>
    <w:p w:rsidR="005C0C69" w:rsidRPr="005C0C69" w:rsidRDefault="005C0C69" w:rsidP="005C0C69">
      <w:pPr>
        <w:spacing w:after="0" w:line="240" w:lineRule="auto"/>
        <w:ind w:left="1854"/>
        <w:jc w:val="both"/>
        <w:rPr>
          <w:rFonts w:ascii="Tahoma" w:eastAsia="Times New Roman" w:hAnsi="Tahoma" w:cs="Tahoma"/>
          <w:i/>
          <w:lang w:val="es-ES" w:eastAsia="es-ES"/>
        </w:rPr>
      </w:pPr>
    </w:p>
    <w:p w:rsidR="005C0C69" w:rsidRPr="005C0C69" w:rsidRDefault="005C0C69" w:rsidP="005C0C69">
      <w:pPr>
        <w:spacing w:after="0" w:line="240" w:lineRule="auto"/>
        <w:ind w:left="1854"/>
        <w:jc w:val="both"/>
        <w:rPr>
          <w:rFonts w:ascii="Tahoma" w:eastAsia="Times New Roman" w:hAnsi="Tahoma" w:cs="Tahoma"/>
          <w:i/>
          <w:lang w:val="es-ES" w:eastAsia="es-ES"/>
        </w:rPr>
      </w:pPr>
      <w:r w:rsidRPr="005C0C69">
        <w:rPr>
          <w:rFonts w:ascii="Tahoma" w:eastAsia="Times New Roman" w:hAnsi="Tahoma" w:cs="Tahoma"/>
          <w:i/>
          <w:lang w:val="es-ES" w:eastAsia="es-ES"/>
        </w:rPr>
        <w:t>Como regla general, el principio activo y la concentración, así como otras características de los medicamentos, deben coincidir con lo señalado en el cuadro de requerimientos del presente capitulo.</w:t>
      </w:r>
    </w:p>
    <w:p w:rsidR="005C0C69" w:rsidRPr="005C0C69" w:rsidRDefault="005C0C69" w:rsidP="005C0C69">
      <w:pPr>
        <w:spacing w:after="0" w:line="240" w:lineRule="auto"/>
        <w:ind w:left="708"/>
        <w:rPr>
          <w:rFonts w:ascii="Tahoma" w:eastAsia="Times New Roman" w:hAnsi="Tahoma" w:cs="Tahoma"/>
          <w:i/>
          <w:lang w:val="es-ES" w:eastAsia="es-ES"/>
        </w:rPr>
      </w:pPr>
    </w:p>
    <w:p w:rsidR="005C0C69" w:rsidRPr="005C0C69" w:rsidRDefault="005C0C69" w:rsidP="005C0C69">
      <w:pPr>
        <w:numPr>
          <w:ilvl w:val="0"/>
          <w:numId w:val="3"/>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Que en el Capítulo IV de las bases, numeral 4.2 tenemos:</w:t>
      </w:r>
    </w:p>
    <w:p w:rsidR="005C0C69" w:rsidRPr="005C0C69" w:rsidRDefault="005C0C69" w:rsidP="005C0C69">
      <w:pPr>
        <w:spacing w:after="0" w:line="240" w:lineRule="auto"/>
        <w:ind w:left="1134"/>
        <w:jc w:val="both"/>
        <w:rPr>
          <w:rFonts w:ascii="Tahoma" w:eastAsia="Times New Roman" w:hAnsi="Tahoma" w:cs="Tahoma"/>
          <w:i/>
          <w:lang w:val="es-ES" w:eastAsia="es-ES"/>
        </w:rPr>
      </w:pPr>
    </w:p>
    <w:p w:rsidR="005C0C69" w:rsidRPr="005C0C69" w:rsidRDefault="005C0C69" w:rsidP="005C0C69">
      <w:pPr>
        <w:numPr>
          <w:ilvl w:val="1"/>
          <w:numId w:val="9"/>
        </w:numPr>
        <w:spacing w:after="0" w:line="240" w:lineRule="auto"/>
        <w:jc w:val="both"/>
        <w:rPr>
          <w:rFonts w:ascii="Tahoma" w:eastAsia="Times New Roman" w:hAnsi="Tahoma" w:cs="Tahoma"/>
          <w:b/>
          <w:i/>
          <w:lang w:val="es-ES" w:eastAsia="es-ES"/>
        </w:rPr>
      </w:pPr>
      <w:r w:rsidRPr="005C0C69">
        <w:rPr>
          <w:rFonts w:ascii="Tahoma" w:eastAsia="Times New Roman" w:hAnsi="Tahoma" w:cs="Tahoma"/>
          <w:b/>
          <w:i/>
          <w:lang w:val="es-ES" w:eastAsia="es-ES"/>
        </w:rPr>
        <w:t>Factores de evaluación referidos a los controles con resultados conformes</w:t>
      </w:r>
    </w:p>
    <w:p w:rsidR="005C0C69" w:rsidRPr="005C0C69" w:rsidRDefault="005C0C69" w:rsidP="005C0C69">
      <w:pPr>
        <w:spacing w:after="0" w:line="240" w:lineRule="auto"/>
        <w:ind w:left="1854"/>
        <w:jc w:val="both"/>
        <w:rPr>
          <w:rFonts w:ascii="Tahoma" w:eastAsia="Times New Roman" w:hAnsi="Tahoma" w:cs="Tahoma"/>
          <w:i/>
          <w:lang w:val="es-ES" w:eastAsia="es-ES"/>
        </w:rPr>
      </w:pPr>
    </w:p>
    <w:p w:rsidR="005C0C69" w:rsidRPr="005C0C69" w:rsidRDefault="005C0C69" w:rsidP="005C0C69">
      <w:pPr>
        <w:spacing w:after="0" w:line="240" w:lineRule="auto"/>
        <w:ind w:left="1854"/>
        <w:jc w:val="both"/>
        <w:rPr>
          <w:rFonts w:ascii="Tahoma" w:eastAsia="Times New Roman" w:hAnsi="Tahoma" w:cs="Tahoma"/>
          <w:i/>
          <w:lang w:val="es-ES" w:eastAsia="es-ES"/>
        </w:rPr>
      </w:pPr>
      <w:r w:rsidRPr="005C0C69">
        <w:rPr>
          <w:rFonts w:ascii="Tahoma" w:eastAsia="Times New Roman" w:hAnsi="Tahoma" w:cs="Tahoma"/>
          <w:i/>
          <w:lang w:val="es-ES" w:eastAsia="es-ES"/>
        </w:rPr>
        <w:lastRenderedPageBreak/>
        <w:t>En este factor se evaluará el comportamiento del postor en sus anteriores relaciones contractuales, en un determinado periodo de tiempo, a través de los certificados de control de medicamento ofertado con resultados “conformes”.</w:t>
      </w:r>
    </w:p>
    <w:p w:rsidR="005C0C69" w:rsidRPr="005C0C69" w:rsidRDefault="005C0C69" w:rsidP="005C0C69">
      <w:pPr>
        <w:spacing w:after="0" w:line="240" w:lineRule="auto"/>
        <w:ind w:left="1854"/>
        <w:jc w:val="both"/>
        <w:rPr>
          <w:rFonts w:ascii="Tahoma" w:eastAsia="Times New Roman" w:hAnsi="Tahoma" w:cs="Tahoma"/>
          <w:i/>
          <w:lang w:val="es-ES" w:eastAsia="es-ES"/>
        </w:rPr>
      </w:pPr>
    </w:p>
    <w:p w:rsidR="005C0C69" w:rsidRPr="005C0C69" w:rsidRDefault="005C0C69" w:rsidP="005C0C69">
      <w:pPr>
        <w:spacing w:after="0" w:line="240" w:lineRule="auto"/>
        <w:ind w:left="1854"/>
        <w:jc w:val="both"/>
        <w:rPr>
          <w:rFonts w:ascii="Tahoma" w:eastAsia="Times New Roman" w:hAnsi="Tahoma" w:cs="Tahoma"/>
          <w:i/>
          <w:lang w:val="es-ES" w:eastAsia="es-ES"/>
        </w:rPr>
      </w:pPr>
      <w:r w:rsidRPr="005C0C69">
        <w:rPr>
          <w:rFonts w:ascii="Tahoma" w:eastAsia="Times New Roman" w:hAnsi="Tahoma" w:cs="Tahoma"/>
          <w:i/>
          <w:lang w:val="es-ES" w:eastAsia="es-ES"/>
        </w:rPr>
        <w:t>Dichos certificados deberán ser emitidos por el Centro Nacional de Control de Calidad de medicamentos y cualquiera de los Laboratorios conformantes de la Red de Laboratorios Oficiales de Control de Calidad acreditados por MINSA; así mismo deberán corresponder a los últimos 24 meses, contados a partir de la fecha de presentación de propuestas.</w:t>
      </w:r>
    </w:p>
    <w:p w:rsidR="005C0C69" w:rsidRPr="005C0C69" w:rsidRDefault="005C0C69" w:rsidP="005C0C69">
      <w:pPr>
        <w:spacing w:after="0" w:line="240" w:lineRule="auto"/>
        <w:ind w:left="1854"/>
        <w:jc w:val="both"/>
        <w:rPr>
          <w:rFonts w:ascii="Tahoma" w:eastAsia="Times New Roman" w:hAnsi="Tahoma" w:cs="Tahoma"/>
          <w:i/>
          <w:lang w:val="es-ES" w:eastAsia="es-ES"/>
        </w:rPr>
      </w:pPr>
    </w:p>
    <w:p w:rsidR="005C0C69" w:rsidRPr="005C0C69" w:rsidRDefault="005C0C69" w:rsidP="005C0C69">
      <w:pPr>
        <w:spacing w:after="0" w:line="240" w:lineRule="auto"/>
        <w:ind w:left="1854"/>
        <w:jc w:val="both"/>
        <w:rPr>
          <w:rFonts w:ascii="Tahoma" w:eastAsia="Times New Roman" w:hAnsi="Tahoma" w:cs="Tahoma"/>
          <w:i/>
          <w:lang w:val="es-ES" w:eastAsia="es-ES"/>
        </w:rPr>
      </w:pPr>
      <w:r w:rsidRPr="005C0C69">
        <w:rPr>
          <w:rFonts w:ascii="Tahoma" w:eastAsia="Times New Roman" w:hAnsi="Tahoma" w:cs="Tahoma"/>
          <w:i/>
          <w:lang w:val="es-ES" w:eastAsia="es-ES"/>
        </w:rPr>
        <w:t>En ese sentido se consideraran las pruebas de control con resultados “conformes” registrados por Digemid, Essalud, Entidades Públicas del Sector Salud y a aquellas que fueran practicadas a solicitud de parte.</w:t>
      </w:r>
    </w:p>
    <w:p w:rsidR="005C0C69" w:rsidRPr="005C0C69" w:rsidRDefault="005C0C69" w:rsidP="005C0C69">
      <w:pPr>
        <w:spacing w:after="0" w:line="240" w:lineRule="auto"/>
        <w:ind w:left="708"/>
        <w:rPr>
          <w:rFonts w:ascii="Tahoma" w:eastAsia="Times New Roman" w:hAnsi="Tahoma" w:cs="Tahoma"/>
          <w:i/>
          <w:lang w:val="es-ES" w:eastAsia="es-ES"/>
        </w:rPr>
      </w:pPr>
    </w:p>
    <w:p w:rsidR="005C0C69" w:rsidRPr="005C0C69" w:rsidRDefault="005C0C69" w:rsidP="005C0C69">
      <w:pPr>
        <w:numPr>
          <w:ilvl w:val="0"/>
          <w:numId w:val="3"/>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Que de la revisión del expediente del postor Albis S.A., se puede comprobar que este ha presentado en el folio N° 48 de su propuesta, la Resolución Directoral N° 12037-SS/DIGEMID/DAS/ERPF, de fecha 21 de Septiembre del 2007, mediante el cual se autoriza la inscripción en el Registro Sanitario, el producto SIROTAN 1 mg. Comprimido recubierto en blíster de aluminio/PVC, incoloro.</w:t>
      </w:r>
    </w:p>
    <w:p w:rsidR="005C0C69" w:rsidRPr="005C0C69" w:rsidRDefault="005C0C69" w:rsidP="005C0C69">
      <w:pPr>
        <w:spacing w:after="0" w:line="240" w:lineRule="auto"/>
        <w:ind w:left="1134"/>
        <w:jc w:val="both"/>
        <w:rPr>
          <w:rFonts w:ascii="Tahoma" w:eastAsia="Times New Roman" w:hAnsi="Tahoma" w:cs="Tahoma"/>
          <w:i/>
          <w:lang w:val="es-ES" w:eastAsia="es-ES"/>
        </w:rPr>
      </w:pPr>
    </w:p>
    <w:p w:rsidR="005C0C69" w:rsidRPr="005C0C69" w:rsidRDefault="005C0C69" w:rsidP="005C0C69">
      <w:pPr>
        <w:numPr>
          <w:ilvl w:val="0"/>
          <w:numId w:val="3"/>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Que posteriormente, mediante Resolución Directoral N° 5550-SS/DIGEMID/DAS/ERPF, de fecha 30 de Abril del 2009, (folio N°  479) el titular del Registro realizó una actuación del mismo, inscribiendo la modificación del material del envase primario (ampliación de forma de presentación), como corresponde, siendo está debidamente autorizada por el Órgano Rector, a partir de lo cual se autorizó la comercialización del mencionado producto también en blíster de alu-alu (aluminio/PVC opaco/brillante).</w:t>
      </w:r>
    </w:p>
    <w:p w:rsidR="005C0C69" w:rsidRPr="005C0C69" w:rsidRDefault="005C0C69" w:rsidP="005C0C69">
      <w:pPr>
        <w:spacing w:after="0" w:line="240" w:lineRule="auto"/>
        <w:ind w:left="708"/>
        <w:rPr>
          <w:rFonts w:ascii="Tahoma" w:eastAsia="Times New Roman" w:hAnsi="Tahoma" w:cs="Tahoma"/>
          <w:i/>
          <w:lang w:val="es-ES" w:eastAsia="es-ES"/>
        </w:rPr>
      </w:pPr>
    </w:p>
    <w:p w:rsidR="005C0C69" w:rsidRPr="005C0C69" w:rsidRDefault="005C0C69" w:rsidP="005C0C69">
      <w:pPr>
        <w:numPr>
          <w:ilvl w:val="0"/>
          <w:numId w:val="3"/>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Que se debe destacar que después de lo señalado, no existe otra actualización del Registro Sanitario correspondiente al producto ofertado por la empresa ALBIS S.A.</w:t>
      </w:r>
    </w:p>
    <w:p w:rsidR="005C0C69" w:rsidRPr="005C0C69" w:rsidRDefault="005C0C69" w:rsidP="005C0C69">
      <w:pPr>
        <w:spacing w:after="0" w:line="240" w:lineRule="auto"/>
        <w:ind w:left="708"/>
        <w:rPr>
          <w:rFonts w:ascii="Tahoma" w:eastAsia="Times New Roman" w:hAnsi="Tahoma" w:cs="Tahoma"/>
          <w:i/>
          <w:lang w:val="es-ES" w:eastAsia="es-ES"/>
        </w:rPr>
      </w:pPr>
    </w:p>
    <w:p w:rsidR="005C0C69" w:rsidRPr="005C0C69" w:rsidRDefault="005C0C69" w:rsidP="005C0C69">
      <w:pPr>
        <w:numPr>
          <w:ilvl w:val="0"/>
          <w:numId w:val="3"/>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Sin embargo de los documentos presentados por este postor para obtener puntaje por Controles con Resultados conformes, podemos observar que a folios N° 532 al 534, obra el informe de ensayo de peso promedio como especificaciones 183,6</w:t>
      </w:r>
      <w:r w:rsidRPr="005C0C69">
        <w:rPr>
          <w:rFonts w:ascii="Tahoma" w:eastAsia="Times New Roman" w:hAnsi="Tahoma" w:cs="Tahoma"/>
          <w:i/>
          <w:lang w:val="es-ES" w:eastAsia="es-ES"/>
        </w:rPr>
        <w:sym w:font="Symbol" w:char="F0B1"/>
      </w:r>
      <w:r w:rsidRPr="005C0C69">
        <w:rPr>
          <w:rFonts w:ascii="Tahoma" w:eastAsia="Times New Roman" w:hAnsi="Tahoma" w:cs="Tahoma"/>
          <w:i/>
          <w:lang w:val="es-ES" w:eastAsia="es-ES"/>
        </w:rPr>
        <w:t xml:space="preserve">7(mg), lo cual se basó, como se señala en la conclusión del documento, en la técnica y especificaciones descritas por el Laboratorio de </w:t>
      </w:r>
      <w:r w:rsidRPr="005C0C69">
        <w:rPr>
          <w:rFonts w:ascii="Tahoma" w:eastAsia="Times New Roman" w:hAnsi="Tahoma" w:cs="Tahoma"/>
          <w:i/>
          <w:lang w:val="es-ES" w:eastAsia="es-ES"/>
        </w:rPr>
        <w:lastRenderedPageBreak/>
        <w:t>Origen y USP32. Cabe resaltar que el ensayo de peso promedio se ha realizado de acuerdo a lo señalado por el Laboratorio de origen.</w:t>
      </w:r>
    </w:p>
    <w:p w:rsidR="005C0C69" w:rsidRPr="005C0C69" w:rsidRDefault="005C0C69" w:rsidP="005C0C69">
      <w:pPr>
        <w:spacing w:after="0" w:line="240" w:lineRule="auto"/>
        <w:ind w:left="708"/>
        <w:rPr>
          <w:rFonts w:ascii="Tahoma" w:eastAsia="Times New Roman" w:hAnsi="Tahoma" w:cs="Tahoma"/>
          <w:i/>
          <w:lang w:val="es-ES" w:eastAsia="es-ES"/>
        </w:rPr>
      </w:pPr>
    </w:p>
    <w:p w:rsidR="005C0C69" w:rsidRPr="005C0C69" w:rsidRDefault="005C0C69" w:rsidP="005C0C69">
      <w:pPr>
        <w:numPr>
          <w:ilvl w:val="0"/>
          <w:numId w:val="3"/>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Asimismo, este postor presentó a folios 535 al 537, el Informe de ensayo N° HA42960-11 de fecha 24 de Marzo del 2011, emitido por Laboratorios HYPATIA, el mismo que también concluye conforme, pero que sorprendentemente señala diferente especificación para la prueba de peso promedio como es 187,2</w:t>
      </w:r>
      <w:r w:rsidRPr="005C0C69">
        <w:rPr>
          <w:rFonts w:ascii="Tahoma" w:eastAsia="Times New Roman" w:hAnsi="Tahoma" w:cs="Tahoma"/>
          <w:i/>
          <w:lang w:val="es-ES" w:eastAsia="es-ES"/>
        </w:rPr>
        <w:sym w:font="Symbol" w:char="F0B1"/>
      </w:r>
      <w:r w:rsidRPr="005C0C69">
        <w:rPr>
          <w:rFonts w:ascii="Tahoma" w:eastAsia="Times New Roman" w:hAnsi="Tahoma" w:cs="Tahoma"/>
          <w:i/>
          <w:lang w:val="es-ES" w:eastAsia="es-ES"/>
        </w:rPr>
        <w:t>10 (mg), lo cual evidencia que ha existido un cambio en los excipientes de la formula lo que ocasiona, que el precio promedio de la tabletase haya incrementado, situación que debió ser comunicada a DIGEMID para la autorización respectiva, mediante la emisión de la correspondiente Resolución Directoral de “Cambio de Excipientes en la Formula”, documento que el postor Albis S.A., no había cumplido con presentar, lo que en buena cuenta quiere decir que el Registro Sanitario presentado por el postor ganador de la buena pro, no se encuentra vigente, razón por la cual se debe tener por no presentado.</w:t>
      </w:r>
    </w:p>
    <w:p w:rsidR="005C0C69" w:rsidRPr="005C0C69" w:rsidRDefault="005C0C69" w:rsidP="005C0C69">
      <w:pPr>
        <w:spacing w:after="0" w:line="240" w:lineRule="auto"/>
        <w:ind w:left="708"/>
        <w:rPr>
          <w:rFonts w:ascii="Tahoma" w:eastAsia="Times New Roman" w:hAnsi="Tahoma" w:cs="Tahoma"/>
          <w:i/>
          <w:lang w:val="es-ES" w:eastAsia="es-ES"/>
        </w:rPr>
      </w:pPr>
    </w:p>
    <w:p w:rsidR="005C0C69" w:rsidRPr="005C0C69" w:rsidRDefault="005C0C69" w:rsidP="005C0C69">
      <w:pPr>
        <w:numPr>
          <w:ilvl w:val="0"/>
          <w:numId w:val="3"/>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Nótese en este caso que según la Nota N° 03, del documento comentado, para la elaboración de estas pruebas, el titular también entregó únicamente las resoluciones directorales mencionados en líneas precedentes y que hoy han sido presentados en el expediente técnico del postor cuestionado.</w:t>
      </w:r>
    </w:p>
    <w:p w:rsidR="005C0C69" w:rsidRPr="005C0C69" w:rsidRDefault="005C0C69" w:rsidP="005C0C69">
      <w:pPr>
        <w:spacing w:after="0" w:line="240" w:lineRule="auto"/>
        <w:ind w:left="708"/>
        <w:rPr>
          <w:rFonts w:ascii="Tahoma" w:eastAsia="Times New Roman" w:hAnsi="Tahoma" w:cs="Tahoma"/>
          <w:i/>
          <w:lang w:val="es-ES" w:eastAsia="es-ES"/>
        </w:rPr>
      </w:pPr>
    </w:p>
    <w:p w:rsidR="005C0C69" w:rsidRPr="005C0C69" w:rsidRDefault="005C0C69" w:rsidP="005C0C69">
      <w:pPr>
        <w:numPr>
          <w:ilvl w:val="0"/>
          <w:numId w:val="3"/>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Las pruebas del cambio de excipientes en la fórmula del producto ofertado por Albis S.A., son el documento que contiene la metodología analítica del producto, que a folios 485, evidencia que la especificación para el ensayo de peso promedio es de 187,2</w:t>
      </w:r>
      <w:r w:rsidRPr="005C0C69">
        <w:rPr>
          <w:rFonts w:ascii="Tahoma" w:eastAsia="Times New Roman" w:hAnsi="Tahoma" w:cs="Tahoma"/>
          <w:i/>
          <w:lang w:val="es-ES" w:eastAsia="es-ES"/>
        </w:rPr>
        <w:sym w:font="Symbol" w:char="F0B1"/>
      </w:r>
      <w:r w:rsidRPr="005C0C69">
        <w:rPr>
          <w:rFonts w:ascii="Tahoma" w:eastAsia="Times New Roman" w:hAnsi="Tahoma" w:cs="Tahoma"/>
          <w:i/>
          <w:lang w:val="es-ES" w:eastAsia="es-ES"/>
        </w:rPr>
        <w:t>10 (mg), y el Certificado de Análisis que obra en el folio 482 donde el valor de la especificación se repite. Cabe resaltar que según la metodología analítica propia ésta indica haber sido revisada en el mes de Julio del presente año. Por lo antes expuesto no existe en ésta propuesta técnica evidencia alguna de que los documentos se encuentren vigentes al no existir una resolución que así lo autorice, por lo que debe de darse por no presentada.</w:t>
      </w:r>
    </w:p>
    <w:p w:rsidR="005C0C69" w:rsidRPr="005C0C69" w:rsidRDefault="005C0C69" w:rsidP="005C0C69">
      <w:pPr>
        <w:spacing w:after="0" w:line="240" w:lineRule="auto"/>
        <w:ind w:left="708"/>
        <w:rPr>
          <w:rFonts w:ascii="Tahoma" w:eastAsia="Times New Roman" w:hAnsi="Tahoma" w:cs="Tahoma"/>
          <w:i/>
          <w:lang w:val="es-ES" w:eastAsia="es-ES"/>
        </w:rPr>
      </w:pPr>
    </w:p>
    <w:p w:rsidR="005C0C69" w:rsidRPr="005C0C69" w:rsidRDefault="005C0C69" w:rsidP="005C0C69">
      <w:pPr>
        <w:numPr>
          <w:ilvl w:val="0"/>
          <w:numId w:val="3"/>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Que según la prueba de Control Microbiológico que se encuentra a folios 488 de la propuesta técnica del postor ganador, el método utilizado es el descrito en la USP 33</w:t>
      </w:r>
      <w:r w:rsidRPr="005C0C69">
        <w:rPr>
          <w:rFonts w:ascii="Tahoma" w:eastAsia="Times New Roman" w:hAnsi="Tahoma" w:cs="Tahoma"/>
          <w:i/>
          <w:lang w:val="es-ES" w:eastAsia="es-ES"/>
        </w:rPr>
        <w:sym w:font="Symbol" w:char="F03C"/>
      </w:r>
      <w:r w:rsidRPr="005C0C69">
        <w:rPr>
          <w:rFonts w:ascii="Tahoma" w:eastAsia="Times New Roman" w:hAnsi="Tahoma" w:cs="Tahoma"/>
          <w:i/>
          <w:lang w:val="es-ES" w:eastAsia="es-ES"/>
        </w:rPr>
        <w:t>61</w:t>
      </w:r>
      <w:r w:rsidRPr="005C0C69">
        <w:rPr>
          <w:rFonts w:ascii="Tahoma" w:eastAsia="Times New Roman" w:hAnsi="Tahoma" w:cs="Tahoma"/>
          <w:i/>
          <w:lang w:val="es-ES" w:eastAsia="es-ES"/>
        </w:rPr>
        <w:sym w:font="Symbol" w:char="F03E"/>
      </w:r>
      <w:r w:rsidRPr="005C0C69">
        <w:rPr>
          <w:rFonts w:ascii="Tahoma" w:eastAsia="Times New Roman" w:hAnsi="Tahoma" w:cs="Tahoma"/>
          <w:i/>
          <w:lang w:val="es-ES" w:eastAsia="es-ES"/>
        </w:rPr>
        <w:t xml:space="preserve"> es el método para realizar el recuento total de micro organismos aerobicos y el de hongos y levaduras, mas no para el recuento de micro organismos como S. Aureus, Salmonella, E. Coli, P. Aeruginosa los mismos que deben analizar mediante la metodología descrita la USP 33</w:t>
      </w:r>
      <w:r w:rsidRPr="005C0C69">
        <w:rPr>
          <w:rFonts w:ascii="Tahoma" w:eastAsia="Times New Roman" w:hAnsi="Tahoma" w:cs="Tahoma"/>
          <w:i/>
          <w:lang w:val="es-ES" w:eastAsia="es-ES"/>
        </w:rPr>
        <w:sym w:font="Symbol" w:char="F03C"/>
      </w:r>
      <w:r w:rsidRPr="005C0C69">
        <w:rPr>
          <w:rFonts w:ascii="Tahoma" w:eastAsia="Times New Roman" w:hAnsi="Tahoma" w:cs="Tahoma"/>
          <w:i/>
          <w:lang w:val="es-ES" w:eastAsia="es-ES"/>
        </w:rPr>
        <w:t>62</w:t>
      </w:r>
      <w:r w:rsidRPr="005C0C69">
        <w:rPr>
          <w:rFonts w:ascii="Tahoma" w:eastAsia="Times New Roman" w:hAnsi="Tahoma" w:cs="Tahoma"/>
          <w:i/>
          <w:lang w:val="es-ES" w:eastAsia="es-ES"/>
        </w:rPr>
        <w:sym w:font="Symbol" w:char="F03E"/>
      </w:r>
      <w:r w:rsidRPr="005C0C69">
        <w:rPr>
          <w:rFonts w:ascii="Tahoma" w:eastAsia="Times New Roman" w:hAnsi="Tahoma" w:cs="Tahoma"/>
          <w:i/>
          <w:lang w:val="es-ES" w:eastAsia="es-ES"/>
        </w:rPr>
        <w:t>.</w:t>
      </w:r>
    </w:p>
    <w:p w:rsidR="005C0C69" w:rsidRPr="005C0C69" w:rsidRDefault="005C0C69" w:rsidP="005C0C69">
      <w:pPr>
        <w:spacing w:after="0" w:line="240" w:lineRule="auto"/>
        <w:ind w:left="708"/>
        <w:rPr>
          <w:rFonts w:ascii="Tahoma" w:eastAsia="Times New Roman" w:hAnsi="Tahoma" w:cs="Tahoma"/>
          <w:i/>
          <w:lang w:val="es-ES" w:eastAsia="es-ES"/>
        </w:rPr>
      </w:pPr>
    </w:p>
    <w:p w:rsidR="005C0C69" w:rsidRPr="005C0C69" w:rsidRDefault="005C0C69" w:rsidP="005C0C69">
      <w:pPr>
        <w:numPr>
          <w:ilvl w:val="0"/>
          <w:numId w:val="3"/>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lastRenderedPageBreak/>
        <w:t>Que siendo así se evidencia una total incongruencia toda vez que no es posible realizar los ensayos señalados en el protocolo de análisis con la metodología analítica propia anexado por el postor Albis S.A., lo que impide la evaluación del protocolo de análisis, que es la principal razón para solicitar este RTM.</w:t>
      </w:r>
    </w:p>
    <w:p w:rsidR="005C0C69" w:rsidRPr="005C0C69" w:rsidRDefault="005C0C69" w:rsidP="005C0C69">
      <w:pPr>
        <w:spacing w:after="0" w:line="240" w:lineRule="auto"/>
        <w:ind w:left="708"/>
        <w:rPr>
          <w:rFonts w:ascii="Tahoma" w:eastAsia="Times New Roman" w:hAnsi="Tahoma" w:cs="Tahoma"/>
          <w:i/>
          <w:lang w:val="es-ES" w:eastAsia="es-ES"/>
        </w:rPr>
      </w:pPr>
    </w:p>
    <w:p w:rsidR="005C0C69" w:rsidRPr="005C0C69" w:rsidRDefault="005C0C69" w:rsidP="005C0C69">
      <w:pPr>
        <w:numPr>
          <w:ilvl w:val="0"/>
          <w:numId w:val="3"/>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 xml:space="preserve">Es importante destacar que en ambos Informes de Ensayo realizados por HYPATIA, se consigna, inexplicablemente, que las técnicas y especificaciones utilizadas fueron laboratorio de origen y USP 32 </w:t>
      </w:r>
      <w:r w:rsidRPr="005C0C69">
        <w:rPr>
          <w:rFonts w:ascii="Tahoma" w:eastAsia="Times New Roman" w:hAnsi="Tahoma" w:cs="Tahoma"/>
          <w:i/>
          <w:lang w:val="es-ES" w:eastAsia="es-ES"/>
        </w:rPr>
        <w:sym w:font="Symbol" w:char="F03C"/>
      </w:r>
      <w:r w:rsidRPr="005C0C69">
        <w:rPr>
          <w:rFonts w:ascii="Tahoma" w:eastAsia="Times New Roman" w:hAnsi="Tahoma" w:cs="Tahoma"/>
          <w:i/>
          <w:lang w:val="es-ES" w:eastAsia="es-ES"/>
        </w:rPr>
        <w:t>61</w:t>
      </w:r>
      <w:r w:rsidRPr="005C0C69">
        <w:rPr>
          <w:rFonts w:ascii="Tahoma" w:eastAsia="Times New Roman" w:hAnsi="Tahoma" w:cs="Tahoma"/>
          <w:i/>
          <w:lang w:val="es-ES" w:eastAsia="es-ES"/>
        </w:rPr>
        <w:sym w:font="Symbol" w:char="F03E"/>
      </w:r>
      <w:r w:rsidRPr="005C0C69">
        <w:rPr>
          <w:rFonts w:ascii="Tahoma" w:eastAsia="Times New Roman" w:hAnsi="Tahoma" w:cs="Tahoma"/>
          <w:i/>
          <w:lang w:val="es-ES" w:eastAsia="es-ES"/>
        </w:rPr>
        <w:t xml:space="preserve"> para examen microbiológico de productos estériles: pruebas de recuento microbiano, </w:t>
      </w:r>
      <w:r w:rsidRPr="005C0C69">
        <w:rPr>
          <w:rFonts w:ascii="Tahoma" w:eastAsia="Times New Roman" w:hAnsi="Tahoma" w:cs="Tahoma"/>
          <w:i/>
          <w:lang w:val="es-ES" w:eastAsia="es-ES"/>
        </w:rPr>
        <w:sym w:font="Symbol" w:char="F03C"/>
      </w:r>
      <w:r w:rsidRPr="005C0C69">
        <w:rPr>
          <w:rFonts w:ascii="Tahoma" w:eastAsia="Times New Roman" w:hAnsi="Tahoma" w:cs="Tahoma"/>
          <w:i/>
          <w:lang w:val="es-ES" w:eastAsia="es-ES"/>
        </w:rPr>
        <w:t>62</w:t>
      </w:r>
      <w:r w:rsidRPr="005C0C69">
        <w:rPr>
          <w:rFonts w:ascii="Tahoma" w:eastAsia="Times New Roman" w:hAnsi="Tahoma" w:cs="Tahoma"/>
          <w:i/>
          <w:lang w:val="es-ES" w:eastAsia="es-ES"/>
        </w:rPr>
        <w:sym w:font="Symbol" w:char="F03E"/>
      </w:r>
      <w:r w:rsidRPr="005C0C69">
        <w:rPr>
          <w:rFonts w:ascii="Tahoma" w:eastAsia="Times New Roman" w:hAnsi="Tahoma" w:cs="Tahoma"/>
          <w:i/>
          <w:lang w:val="es-ES" w:eastAsia="es-ES"/>
        </w:rPr>
        <w:t>. Examen microbiológico de productos no estériles: pruebas de micro organismos específicos, lo que quiere decir que no se respetaron los lineamientos especificados en la metodología analítica propia.</w:t>
      </w:r>
    </w:p>
    <w:p w:rsidR="005C0C69" w:rsidRPr="005C0C69" w:rsidRDefault="005C0C69" w:rsidP="005C0C69">
      <w:pPr>
        <w:spacing w:after="0" w:line="240" w:lineRule="auto"/>
        <w:ind w:left="708"/>
        <w:rPr>
          <w:rFonts w:ascii="Tahoma" w:eastAsia="Times New Roman" w:hAnsi="Tahoma" w:cs="Tahoma"/>
          <w:i/>
          <w:lang w:val="es-ES" w:eastAsia="es-ES"/>
        </w:rPr>
      </w:pPr>
    </w:p>
    <w:p w:rsidR="005C0C69" w:rsidRPr="005C0C69" w:rsidRDefault="005C0C69" w:rsidP="005C0C69">
      <w:pPr>
        <w:numPr>
          <w:ilvl w:val="0"/>
          <w:numId w:val="3"/>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Siendo así la metodología analítica del producto ofertado por Albis S.A., contiene información inexacta respecto a la metodología descrita en la USP 33 declarada en el protocolo de análisis, por lo que se debe tener por no presentada.</w:t>
      </w:r>
    </w:p>
    <w:p w:rsidR="005C0C69" w:rsidRPr="005C0C69" w:rsidRDefault="005C0C69" w:rsidP="005C0C69">
      <w:pPr>
        <w:spacing w:after="0" w:line="240" w:lineRule="auto"/>
        <w:ind w:left="708"/>
        <w:rPr>
          <w:rFonts w:ascii="Tahoma" w:eastAsia="Times New Roman" w:hAnsi="Tahoma" w:cs="Tahoma"/>
          <w:i/>
          <w:lang w:val="es-ES" w:eastAsia="es-ES"/>
        </w:rPr>
      </w:pPr>
    </w:p>
    <w:p w:rsidR="005C0C69" w:rsidRPr="005C0C69" w:rsidRDefault="005C0C69" w:rsidP="005C0C69">
      <w:pPr>
        <w:numPr>
          <w:ilvl w:val="0"/>
          <w:numId w:val="3"/>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Considerando que tanto el Registro Sanitario, como la metodología analítica constituyen Requisitos Mínimos necesarios para la admisión de la propuesta técnica, al no haber cumplido en forma cabal con las exigencias de las bases integradas del proceso, se debe descalificar al postor Albis S.A. (…)” (SIC)</w:t>
      </w:r>
    </w:p>
    <w:p w:rsidR="005C0C69" w:rsidRPr="005C0C69" w:rsidRDefault="005C0C69" w:rsidP="005C0C69">
      <w:pPr>
        <w:spacing w:after="0" w:line="240" w:lineRule="auto"/>
        <w:ind w:left="1134"/>
        <w:jc w:val="both"/>
        <w:rPr>
          <w:rFonts w:ascii="Tahoma" w:eastAsia="Times New Roman" w:hAnsi="Tahoma" w:cs="Tahoma"/>
          <w:lang w:val="es-ES" w:eastAsia="es-ES"/>
        </w:rPr>
      </w:pPr>
    </w:p>
    <w:p w:rsidR="005C0C69" w:rsidRPr="005C0C69" w:rsidRDefault="005C0C69" w:rsidP="005C0C69">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lang w:val="es-ES" w:eastAsia="es-ES"/>
        </w:rPr>
        <w:t>Con decreto de fecha 20 de Julio de 2011, debidamente notificado el 26 de Julio del mismo año, se admitió a trámite el recurso de apelación, y se le emplazó a La Entidad, para que remita los antecedentes administrativos relativos al proceso de selección.</w:t>
      </w:r>
    </w:p>
    <w:p w:rsidR="005C0C69" w:rsidRPr="005C0C69" w:rsidRDefault="005C0C69" w:rsidP="005C0C69">
      <w:pPr>
        <w:spacing w:after="0" w:line="240" w:lineRule="auto"/>
        <w:ind w:left="567"/>
        <w:jc w:val="both"/>
        <w:rPr>
          <w:rFonts w:ascii="Tahoma" w:eastAsia="Times New Roman" w:hAnsi="Tahoma" w:cs="Tahoma"/>
          <w:lang w:val="es-ES" w:eastAsia="es-ES"/>
        </w:rPr>
      </w:pPr>
    </w:p>
    <w:p w:rsidR="005C0C69" w:rsidRPr="005C0C69" w:rsidRDefault="005C0C69" w:rsidP="005C0C69">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lang w:val="es-ES" w:eastAsia="es-ES"/>
        </w:rPr>
        <w:t>Con escrito N° 01 de fecha 02 de Agosto de 2011, la Entidad solicitó plazo adicional para la remisión de Antecedentes Administrativos.</w:t>
      </w:r>
    </w:p>
    <w:p w:rsidR="005C0C69" w:rsidRPr="005C0C69" w:rsidRDefault="005C0C69" w:rsidP="005C0C69">
      <w:pPr>
        <w:spacing w:after="0" w:line="240" w:lineRule="auto"/>
        <w:ind w:left="708"/>
        <w:rPr>
          <w:rFonts w:ascii="Tahoma" w:eastAsia="Times New Roman" w:hAnsi="Tahoma" w:cs="Tahoma"/>
          <w:lang w:val="es-ES" w:eastAsia="es-ES"/>
        </w:rPr>
      </w:pPr>
    </w:p>
    <w:p w:rsidR="005C0C69" w:rsidRPr="005C0C69" w:rsidRDefault="005C0C69" w:rsidP="005C0C69">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lang w:val="es-ES" w:eastAsia="es-ES"/>
        </w:rPr>
        <w:t>Con decreto de fecha 03 de Agosto del 2011, se le otorgó a la Entidad el plazo adicional de tres (03) días hábiles.</w:t>
      </w:r>
    </w:p>
    <w:p w:rsidR="005C0C69" w:rsidRPr="005C0C69" w:rsidRDefault="005C0C69" w:rsidP="005C0C69">
      <w:pPr>
        <w:spacing w:after="0" w:line="240" w:lineRule="auto"/>
        <w:ind w:left="708"/>
        <w:rPr>
          <w:rFonts w:ascii="Tahoma" w:hAnsi="Tahoma" w:cs="Tahoma"/>
          <w:lang w:val="es-ES_tradnl" w:eastAsia="es-ES"/>
        </w:rPr>
      </w:pPr>
    </w:p>
    <w:p w:rsidR="005C0C69" w:rsidRPr="005C0C69" w:rsidRDefault="005C0C69" w:rsidP="005C0C69">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hAnsi="Tahoma" w:cs="Tahoma"/>
          <w:lang w:val="es-ES_tradnl" w:eastAsia="es-ES"/>
        </w:rPr>
        <w:t>Con escrito de fecha 03 de Agosto de 2011, la empresa Albis S.A., se apersonó al proceso en calidad de tercero administrado.</w:t>
      </w:r>
    </w:p>
    <w:p w:rsidR="005C0C69" w:rsidRPr="005C0C69" w:rsidRDefault="005C0C69" w:rsidP="005C0C69">
      <w:pPr>
        <w:spacing w:after="0" w:line="240" w:lineRule="auto"/>
        <w:ind w:left="708"/>
        <w:rPr>
          <w:rFonts w:ascii="Tahoma" w:eastAsia="Times New Roman" w:hAnsi="Tahoma" w:cs="Tahoma"/>
          <w:lang w:val="es-ES" w:eastAsia="es-ES"/>
        </w:rPr>
      </w:pPr>
    </w:p>
    <w:p w:rsidR="005C0C69" w:rsidRPr="005C0C69" w:rsidRDefault="005C0C69" w:rsidP="005C0C69">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lang w:val="es-ES" w:eastAsia="es-ES"/>
        </w:rPr>
        <w:t xml:space="preserve">Mediante escritos Nros 02 y 03, presentados el 09 y 11 de Agosto de 2011, respectivamente, la Entidad remitió los antecedentes administrativos solicitados, </w:t>
      </w:r>
      <w:r w:rsidRPr="005C0C69">
        <w:rPr>
          <w:rFonts w:ascii="Tahoma" w:eastAsia="Times New Roman" w:hAnsi="Tahoma" w:cs="Tahoma"/>
          <w:lang w:val="es-ES" w:eastAsia="es-ES"/>
        </w:rPr>
        <w:lastRenderedPageBreak/>
        <w:t>adjuntando el Informe Legal Nº 272-OCAJ-ESSALUD-2011, en donde manifestó lo siguiente:</w:t>
      </w:r>
    </w:p>
    <w:p w:rsidR="005C0C69" w:rsidRPr="005C0C69" w:rsidRDefault="005C0C69" w:rsidP="005C0C69">
      <w:pPr>
        <w:spacing w:after="0" w:line="240" w:lineRule="auto"/>
        <w:ind w:left="708"/>
        <w:rPr>
          <w:rFonts w:ascii="Tahoma" w:eastAsia="Times New Roman" w:hAnsi="Tahoma" w:cs="Tahoma"/>
          <w:lang w:val="es-ES" w:eastAsia="es-ES"/>
        </w:rPr>
      </w:pPr>
    </w:p>
    <w:p w:rsidR="005C0C69" w:rsidRPr="005C0C69" w:rsidRDefault="005C0C69" w:rsidP="005C0C69">
      <w:pPr>
        <w:tabs>
          <w:tab w:val="left" w:pos="540"/>
        </w:tabs>
        <w:spacing w:after="0" w:line="240" w:lineRule="auto"/>
        <w:ind w:left="540"/>
        <w:jc w:val="both"/>
        <w:rPr>
          <w:rFonts w:ascii="Tahoma" w:eastAsia="Times New Roman" w:hAnsi="Tahoma" w:cs="Tahoma"/>
          <w:lang w:val="es-ES" w:eastAsia="es-ES"/>
        </w:rPr>
      </w:pPr>
      <w:r w:rsidRPr="005C0C69">
        <w:rPr>
          <w:rFonts w:ascii="Tahoma" w:eastAsia="Times New Roman" w:hAnsi="Tahoma" w:cs="Tahoma"/>
          <w:lang w:val="es-ES" w:eastAsia="es-ES"/>
        </w:rPr>
        <w:t>“(…)</w:t>
      </w:r>
    </w:p>
    <w:p w:rsidR="005C0C69" w:rsidRPr="005C0C69" w:rsidRDefault="005C0C69" w:rsidP="005C0C69">
      <w:pPr>
        <w:numPr>
          <w:ilvl w:val="1"/>
          <w:numId w:val="1"/>
        </w:numPr>
        <w:tabs>
          <w:tab w:val="clear" w:pos="1800"/>
          <w:tab w:val="left" w:pos="1134"/>
        </w:tabs>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Antes de emitir pronunciamiento sobre el fondo del recurso corresponde determinar si el impugnante se encuentra incurso en la causal de improcedencia prevista en el numeral 9 del artículo 111| del Reglamento de la Ley de Contrataciones del Estado, “El Recurso de Apelación presentado ante la Entidad o ante el Tribunal será declarado improcedente cuando: (…)9. No exista conexión lógica entre los hechos expuestos en el recurso y el petitorio del mismo”.</w:t>
      </w:r>
    </w:p>
    <w:p w:rsidR="005C0C69" w:rsidRPr="005C0C69" w:rsidRDefault="005C0C69" w:rsidP="005C0C69">
      <w:pPr>
        <w:tabs>
          <w:tab w:val="left" w:pos="1134"/>
        </w:tabs>
        <w:spacing w:after="0" w:line="240" w:lineRule="auto"/>
        <w:ind w:left="1134"/>
        <w:jc w:val="both"/>
        <w:rPr>
          <w:rFonts w:ascii="Tahoma" w:eastAsia="Times New Roman" w:hAnsi="Tahoma" w:cs="Tahoma"/>
          <w:i/>
          <w:lang w:val="es-ES" w:eastAsia="es-ES"/>
        </w:rPr>
      </w:pPr>
    </w:p>
    <w:p w:rsidR="005C0C69" w:rsidRPr="005C0C69" w:rsidRDefault="005C0C69" w:rsidP="005C0C69">
      <w:pPr>
        <w:numPr>
          <w:ilvl w:val="1"/>
          <w:numId w:val="1"/>
        </w:numPr>
        <w:tabs>
          <w:tab w:val="clear" w:pos="1800"/>
          <w:tab w:val="left" w:pos="1134"/>
        </w:tabs>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De la lectura del recurso de apelación interpuesto por la empresa NORDIC PHARMACEUTICAL COMPANY S.A.C., se aprecia que su petitorio consiste en lo siguiente: “1. Pido a Usted Sr. Presidente, dejar sin efecto el indebido otorgamiento de la buena pro otorgada a favor del postor ALBIS S.A., 2. Recalificando, pido a usted Sr. Presidente, descalificar la propuesta del postor ALBIS S.A., 3. Pido a usted, Sr. Presidente, otorgarnos la Buena Pro del ítem de la referencia”.</w:t>
      </w:r>
    </w:p>
    <w:p w:rsidR="005C0C69" w:rsidRPr="005C0C69" w:rsidRDefault="005C0C69" w:rsidP="005C0C69">
      <w:pPr>
        <w:spacing w:after="0" w:line="240" w:lineRule="auto"/>
        <w:ind w:left="708"/>
        <w:rPr>
          <w:rFonts w:ascii="Tahoma" w:eastAsia="Times New Roman" w:hAnsi="Tahoma" w:cs="Tahoma"/>
          <w:i/>
          <w:lang w:val="es-ES" w:eastAsia="es-ES"/>
        </w:rPr>
      </w:pPr>
    </w:p>
    <w:p w:rsidR="005C0C69" w:rsidRPr="005C0C69" w:rsidRDefault="005C0C69" w:rsidP="005C0C69">
      <w:pPr>
        <w:numPr>
          <w:ilvl w:val="1"/>
          <w:numId w:val="1"/>
        </w:numPr>
        <w:tabs>
          <w:tab w:val="clear" w:pos="1800"/>
          <w:tab w:val="left" w:pos="1134"/>
        </w:tabs>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Ahora bien de la revisión del Cuadro Comparativo de Evaluación Técnica – Económica de la Licitación Pública N| 1099L00111 que obra a folios 390 del expediente de antecedentes administrativos, se aprecia el siguiente orden de prelación:</w:t>
      </w:r>
    </w:p>
    <w:p w:rsidR="005C0C69" w:rsidRPr="005C0C69" w:rsidRDefault="005C0C69" w:rsidP="005C0C69">
      <w:pPr>
        <w:spacing w:after="0" w:line="240" w:lineRule="auto"/>
        <w:ind w:left="708"/>
        <w:rPr>
          <w:rFonts w:ascii="Tahoma" w:eastAsia="Times New Roman" w:hAnsi="Tahoma" w:cs="Tahoma"/>
          <w:i/>
          <w:lang w:val="es-ES" w:eastAsia="es-ES"/>
        </w:rPr>
      </w:pPr>
    </w:p>
    <w:tbl>
      <w:tblPr>
        <w:tblW w:w="8663"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843"/>
        <w:gridCol w:w="2410"/>
        <w:gridCol w:w="1584"/>
        <w:gridCol w:w="1584"/>
      </w:tblGrid>
      <w:tr w:rsidR="005C0C69" w:rsidRPr="00B60459" w:rsidTr="00B60459">
        <w:tc>
          <w:tcPr>
            <w:tcW w:w="1242" w:type="dxa"/>
          </w:tcPr>
          <w:p w:rsidR="005C0C69" w:rsidRPr="00B60459" w:rsidRDefault="005C0C69" w:rsidP="00B60459">
            <w:pPr>
              <w:tabs>
                <w:tab w:val="left" w:pos="1134"/>
              </w:tabs>
              <w:spacing w:after="0" w:line="240" w:lineRule="auto"/>
              <w:jc w:val="both"/>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 xml:space="preserve">  Ítem</w:t>
            </w:r>
          </w:p>
        </w:tc>
        <w:tc>
          <w:tcPr>
            <w:tcW w:w="1843"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Descripción</w:t>
            </w:r>
          </w:p>
        </w:tc>
        <w:tc>
          <w:tcPr>
            <w:tcW w:w="2410"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Postor</w:t>
            </w:r>
          </w:p>
        </w:tc>
        <w:tc>
          <w:tcPr>
            <w:tcW w:w="1584"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Puntaje Total</w:t>
            </w:r>
          </w:p>
        </w:tc>
        <w:tc>
          <w:tcPr>
            <w:tcW w:w="1584"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Resultado Final</w:t>
            </w:r>
          </w:p>
        </w:tc>
      </w:tr>
      <w:tr w:rsidR="005C0C69" w:rsidRPr="00B60459" w:rsidTr="00B60459">
        <w:tc>
          <w:tcPr>
            <w:tcW w:w="1242"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40</w:t>
            </w:r>
          </w:p>
        </w:tc>
        <w:tc>
          <w:tcPr>
            <w:tcW w:w="1843"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Sirolimus 1mg</w:t>
            </w:r>
          </w:p>
        </w:tc>
        <w:tc>
          <w:tcPr>
            <w:tcW w:w="2410"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Albis S.A.</w:t>
            </w:r>
          </w:p>
        </w:tc>
        <w:tc>
          <w:tcPr>
            <w:tcW w:w="1584"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88.51</w:t>
            </w:r>
          </w:p>
        </w:tc>
        <w:tc>
          <w:tcPr>
            <w:tcW w:w="1584"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Adjudicado</w:t>
            </w:r>
          </w:p>
        </w:tc>
      </w:tr>
      <w:tr w:rsidR="005C0C69" w:rsidRPr="00B60459" w:rsidTr="00B60459">
        <w:tc>
          <w:tcPr>
            <w:tcW w:w="1242"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40</w:t>
            </w:r>
          </w:p>
        </w:tc>
        <w:tc>
          <w:tcPr>
            <w:tcW w:w="1843"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Sirolimus 1mg</w:t>
            </w:r>
          </w:p>
        </w:tc>
        <w:tc>
          <w:tcPr>
            <w:tcW w:w="2410"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Consorcio Pfizer S.A. –Laboratorios Wyeth S.A.</w:t>
            </w:r>
          </w:p>
        </w:tc>
        <w:tc>
          <w:tcPr>
            <w:tcW w:w="1584"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84.82</w:t>
            </w:r>
          </w:p>
        </w:tc>
        <w:tc>
          <w:tcPr>
            <w:tcW w:w="1584"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2DO</w:t>
            </w:r>
          </w:p>
        </w:tc>
      </w:tr>
      <w:tr w:rsidR="005C0C69" w:rsidRPr="00B60459" w:rsidTr="00B60459">
        <w:tc>
          <w:tcPr>
            <w:tcW w:w="1242"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40</w:t>
            </w:r>
          </w:p>
        </w:tc>
        <w:tc>
          <w:tcPr>
            <w:tcW w:w="1843"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Sirolimus 1mg</w:t>
            </w:r>
          </w:p>
        </w:tc>
        <w:tc>
          <w:tcPr>
            <w:tcW w:w="2410" w:type="dxa"/>
          </w:tcPr>
          <w:p w:rsidR="005C0C69" w:rsidRPr="00B60459" w:rsidRDefault="005C0C69" w:rsidP="00B60459">
            <w:pPr>
              <w:tabs>
                <w:tab w:val="left" w:pos="1134"/>
              </w:tabs>
              <w:spacing w:after="0" w:line="240" w:lineRule="auto"/>
              <w:jc w:val="center"/>
              <w:rPr>
                <w:rFonts w:ascii="Tahoma" w:eastAsia="Times New Roman" w:hAnsi="Tahoma" w:cs="Tahoma"/>
                <w:b/>
                <w:i/>
                <w:sz w:val="20"/>
                <w:szCs w:val="20"/>
                <w:lang w:val="en-US" w:eastAsia="es-ES"/>
              </w:rPr>
            </w:pPr>
            <w:r w:rsidRPr="00B60459">
              <w:rPr>
                <w:rFonts w:ascii="Tahoma" w:eastAsia="Times New Roman" w:hAnsi="Tahoma" w:cs="Tahoma"/>
                <w:b/>
                <w:i/>
                <w:sz w:val="20"/>
                <w:szCs w:val="20"/>
                <w:lang w:val="en-US" w:eastAsia="es-ES"/>
              </w:rPr>
              <w:t>Nordic Pharmaceutical Company S.A.C.</w:t>
            </w:r>
          </w:p>
        </w:tc>
        <w:tc>
          <w:tcPr>
            <w:tcW w:w="1584"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82.00</w:t>
            </w:r>
          </w:p>
        </w:tc>
        <w:tc>
          <w:tcPr>
            <w:tcW w:w="1584" w:type="dxa"/>
          </w:tcPr>
          <w:p w:rsidR="005C0C69" w:rsidRPr="00B60459" w:rsidRDefault="005C0C69" w:rsidP="00B60459">
            <w:pPr>
              <w:tabs>
                <w:tab w:val="left" w:pos="1134"/>
              </w:tabs>
              <w:spacing w:after="0" w:line="240" w:lineRule="auto"/>
              <w:jc w:val="center"/>
              <w:rPr>
                <w:rFonts w:ascii="Tahoma" w:eastAsia="Times New Roman" w:hAnsi="Tahoma" w:cs="Tahoma"/>
                <w:i/>
                <w:sz w:val="20"/>
                <w:szCs w:val="20"/>
                <w:lang w:val="es-ES" w:eastAsia="es-ES"/>
              </w:rPr>
            </w:pPr>
            <w:r w:rsidRPr="00B60459">
              <w:rPr>
                <w:rFonts w:ascii="Tahoma" w:eastAsia="Times New Roman" w:hAnsi="Tahoma" w:cs="Tahoma"/>
                <w:i/>
                <w:sz w:val="20"/>
                <w:szCs w:val="20"/>
                <w:lang w:val="es-ES" w:eastAsia="es-ES"/>
              </w:rPr>
              <w:t>3RO</w:t>
            </w:r>
          </w:p>
        </w:tc>
      </w:tr>
    </w:tbl>
    <w:p w:rsidR="005C0C69" w:rsidRPr="005C0C69" w:rsidRDefault="005C0C69" w:rsidP="005C0C69">
      <w:pPr>
        <w:tabs>
          <w:tab w:val="left" w:pos="1134"/>
        </w:tabs>
        <w:spacing w:after="0" w:line="240" w:lineRule="auto"/>
        <w:ind w:left="1134"/>
        <w:jc w:val="both"/>
        <w:rPr>
          <w:rFonts w:ascii="Tahoma" w:eastAsia="Times New Roman" w:hAnsi="Tahoma" w:cs="Tahoma"/>
          <w:i/>
          <w:lang w:val="es-ES" w:eastAsia="es-ES"/>
        </w:rPr>
      </w:pPr>
    </w:p>
    <w:p w:rsidR="005C0C69" w:rsidRPr="005C0C69" w:rsidRDefault="005C0C69" w:rsidP="005C0C69">
      <w:pPr>
        <w:tabs>
          <w:tab w:val="left" w:pos="1134"/>
        </w:tabs>
        <w:spacing w:after="0" w:line="240" w:lineRule="auto"/>
        <w:ind w:left="1134"/>
        <w:jc w:val="both"/>
        <w:rPr>
          <w:rFonts w:ascii="Tahoma" w:eastAsia="Times New Roman" w:hAnsi="Tahoma" w:cs="Tahoma"/>
          <w:i/>
          <w:lang w:val="es-ES" w:eastAsia="es-ES"/>
        </w:rPr>
      </w:pPr>
      <w:r w:rsidRPr="005C0C69">
        <w:rPr>
          <w:rFonts w:ascii="Tahoma" w:eastAsia="Times New Roman" w:hAnsi="Tahoma" w:cs="Tahoma"/>
          <w:i/>
          <w:lang w:val="es-ES" w:eastAsia="es-ES"/>
        </w:rPr>
        <w:t xml:space="preserve">De lo anterior tenemos que la empresa impugnante ocupo el tercer lugar en el orden de prelación, por lo que para alcanzar el objetivo planteado en su recurso de apelación, esto es, que se revoque la buena pro y que se le adjudique el ítem 40 de la Licitación Pública N| 1099L00111, debe superar el puntaje alcanzado por las propuestas presentadas por los postores que ocuparon el segundo y tercer lugar, o en su defecto, lograr la descalificación de las ofertas de estos, siendo que aún se descalificara al postor que quedo en primer lugar, no podría adjudicársele la buena pro al recurrente, pues </w:t>
      </w:r>
      <w:r w:rsidRPr="005C0C69">
        <w:rPr>
          <w:rFonts w:ascii="Tahoma" w:eastAsia="Times New Roman" w:hAnsi="Tahoma" w:cs="Tahoma"/>
          <w:i/>
          <w:lang w:val="es-ES" w:eastAsia="es-ES"/>
        </w:rPr>
        <w:lastRenderedPageBreak/>
        <w:t>correspondería otorgársele al segundo lugar, quien no ha visto cuestionada su participación en el presente proceso de selección.</w:t>
      </w:r>
    </w:p>
    <w:p w:rsidR="005C0C69" w:rsidRPr="005C0C69" w:rsidRDefault="005C0C69" w:rsidP="005C0C69">
      <w:pPr>
        <w:tabs>
          <w:tab w:val="left" w:pos="1134"/>
        </w:tabs>
        <w:spacing w:after="0" w:line="240" w:lineRule="auto"/>
        <w:ind w:left="1134"/>
        <w:jc w:val="both"/>
        <w:rPr>
          <w:rFonts w:ascii="Tahoma" w:eastAsia="Times New Roman" w:hAnsi="Tahoma" w:cs="Tahoma"/>
          <w:i/>
          <w:lang w:val="es-ES" w:eastAsia="es-ES"/>
        </w:rPr>
      </w:pPr>
      <w:r w:rsidRPr="005C0C69">
        <w:rPr>
          <w:rFonts w:ascii="Tahoma" w:eastAsia="Times New Roman" w:hAnsi="Tahoma" w:cs="Tahoma"/>
          <w:i/>
          <w:lang w:val="es-ES" w:eastAsia="es-ES"/>
        </w:rPr>
        <w:t>(…)</w:t>
      </w:r>
    </w:p>
    <w:p w:rsidR="005C0C69" w:rsidRPr="005C0C69" w:rsidRDefault="005C0C69" w:rsidP="005C0C69">
      <w:pPr>
        <w:numPr>
          <w:ilvl w:val="1"/>
          <w:numId w:val="1"/>
        </w:numPr>
        <w:tabs>
          <w:tab w:val="clear" w:pos="1800"/>
          <w:tab w:val="left" w:pos="1134"/>
        </w:tabs>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Por tanto, no existiendo conexión lógica entre el petitorio y los hechos que lo sustentan, el recurso de apelación interpuesto por la empresa NORDIC PHARMACEUTICAL COMPANY S.A.C., respecto al cuestionamiento de la propuesta del postor adjudicado con el Ítem</w:t>
      </w:r>
      <w:r w:rsidR="003825E3">
        <w:rPr>
          <w:rFonts w:ascii="Tahoma" w:eastAsia="Times New Roman" w:hAnsi="Tahoma" w:cs="Tahoma"/>
          <w:i/>
          <w:lang w:val="es-ES" w:eastAsia="es-ES"/>
        </w:rPr>
        <w:t xml:space="preserve"> 40 de la Licitación Pública Nº </w:t>
      </w:r>
      <w:r w:rsidRPr="005C0C69">
        <w:rPr>
          <w:rFonts w:ascii="Tahoma" w:eastAsia="Times New Roman" w:hAnsi="Tahoma" w:cs="Tahoma"/>
          <w:i/>
          <w:lang w:val="es-ES" w:eastAsia="es-ES"/>
        </w:rPr>
        <w:t>1099L00111, debe ser declarado improcedente.</w:t>
      </w:r>
      <w:r w:rsidRPr="005C0C69">
        <w:rPr>
          <w:rFonts w:ascii="Tahoma" w:eastAsia="Times New Roman" w:hAnsi="Tahoma" w:cs="Tahoma"/>
          <w:lang w:val="es-ES" w:eastAsia="es-ES"/>
        </w:rPr>
        <w:t>(…)” (SIC).</w:t>
      </w:r>
    </w:p>
    <w:p w:rsidR="005C0C69" w:rsidRPr="005C0C69" w:rsidRDefault="005C0C69" w:rsidP="005C0C69">
      <w:pPr>
        <w:spacing w:after="0" w:line="240" w:lineRule="auto"/>
        <w:ind w:left="567"/>
        <w:jc w:val="both"/>
        <w:rPr>
          <w:rFonts w:ascii="Tahoma" w:eastAsia="Times New Roman" w:hAnsi="Tahoma" w:cs="Tahoma"/>
          <w:lang w:val="es-ES" w:eastAsia="es-ES"/>
        </w:rPr>
      </w:pPr>
    </w:p>
    <w:p w:rsidR="005C0C69" w:rsidRPr="005C0C69" w:rsidRDefault="005C0C69" w:rsidP="005C0C69">
      <w:pPr>
        <w:spacing w:after="0" w:line="240" w:lineRule="auto"/>
        <w:ind w:left="708"/>
        <w:rPr>
          <w:rFonts w:ascii="Tahoma" w:eastAsia="Times New Roman" w:hAnsi="Tahoma" w:cs="Tahoma"/>
          <w:lang w:val="es-ES" w:eastAsia="es-ES"/>
        </w:rPr>
      </w:pPr>
    </w:p>
    <w:p w:rsidR="005C0C69" w:rsidRPr="005C0C69" w:rsidRDefault="005C0C69" w:rsidP="005C0C69">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lang w:val="es-ES" w:eastAsia="es-ES"/>
        </w:rPr>
        <w:t>Con decreto de fecha 12 de Agosto de 2011, se tuvo por apersonada a la Entidad, remitiéndose el presente expediente a la Cuarta Sala del Tribunal, para resolver.</w:t>
      </w:r>
    </w:p>
    <w:p w:rsidR="005C0C69" w:rsidRPr="005C0C69" w:rsidRDefault="005C0C69" w:rsidP="005C0C69">
      <w:pPr>
        <w:spacing w:after="0" w:line="240" w:lineRule="auto"/>
        <w:ind w:left="567"/>
        <w:jc w:val="both"/>
        <w:rPr>
          <w:rFonts w:ascii="Tahoma" w:eastAsia="Times New Roman" w:hAnsi="Tahoma" w:cs="Tahoma"/>
          <w:lang w:val="es-ES" w:eastAsia="es-ES"/>
        </w:rPr>
      </w:pPr>
    </w:p>
    <w:p w:rsidR="005C0C69" w:rsidRPr="005C0C69" w:rsidRDefault="005C0C69" w:rsidP="005C0C69">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lang w:val="es-ES" w:eastAsia="es-ES"/>
        </w:rPr>
        <w:t>Con escrito de fecha 16 de Agosto de 2011, la empresa ALBIS S.A., presenta alegatos, manifestando lo siguiente:</w:t>
      </w:r>
    </w:p>
    <w:p w:rsidR="005C0C69" w:rsidRPr="005C0C69" w:rsidRDefault="005C0C69" w:rsidP="005C0C69">
      <w:pPr>
        <w:spacing w:after="0" w:line="240" w:lineRule="auto"/>
        <w:ind w:left="708"/>
        <w:rPr>
          <w:rFonts w:ascii="Tahoma" w:eastAsia="Times New Roman" w:hAnsi="Tahoma" w:cs="Tahoma"/>
          <w:lang w:val="es-ES" w:eastAsia="es-ES"/>
        </w:rPr>
      </w:pPr>
    </w:p>
    <w:p w:rsidR="005C0C69" w:rsidRPr="005C0C69" w:rsidRDefault="005C0C69" w:rsidP="005C0C69">
      <w:pPr>
        <w:spacing w:after="0" w:line="240" w:lineRule="auto"/>
        <w:ind w:left="567"/>
        <w:jc w:val="both"/>
        <w:rPr>
          <w:rFonts w:ascii="Tahoma" w:eastAsia="Times New Roman" w:hAnsi="Tahoma" w:cs="Tahoma"/>
          <w:i/>
          <w:lang w:val="es-ES" w:eastAsia="es-ES"/>
        </w:rPr>
      </w:pPr>
      <w:r w:rsidRPr="005C0C69">
        <w:rPr>
          <w:rFonts w:ascii="Tahoma" w:eastAsia="Times New Roman" w:hAnsi="Tahoma" w:cs="Tahoma"/>
          <w:lang w:val="es-ES" w:eastAsia="es-ES"/>
        </w:rPr>
        <w:t xml:space="preserve">“(…) </w:t>
      </w:r>
    </w:p>
    <w:p w:rsidR="005C0C69" w:rsidRPr="005C0C69" w:rsidRDefault="005C0C69" w:rsidP="005C0C69">
      <w:pPr>
        <w:numPr>
          <w:ilvl w:val="0"/>
          <w:numId w:val="10"/>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De acuerdo a lo señalado en el numeral 111º del Reglamento de la Ley de Contrataciones del Estado (D.S. 184-2008-EF), el recurso de apelación presentado ante la Entidad o ante el Tribunal será declarado improcedente cuando “no exista conexión lógica entre los hechos expuestos en el recurso y el petitorio del mismo”. Es así que el Tribunal comprobará que la causal de improcedencia antes citada se cumple sin lugar a dudas en el caso de la impugnación que originó el presente expediente.</w:t>
      </w:r>
    </w:p>
    <w:p w:rsidR="005C0C69" w:rsidRPr="005C0C69" w:rsidRDefault="005C0C69" w:rsidP="005C0C69">
      <w:pPr>
        <w:spacing w:after="0" w:line="240" w:lineRule="auto"/>
        <w:ind w:left="1134"/>
        <w:jc w:val="both"/>
        <w:rPr>
          <w:rFonts w:ascii="Tahoma" w:eastAsia="Times New Roman" w:hAnsi="Tahoma" w:cs="Tahoma"/>
          <w:i/>
          <w:lang w:val="es-ES" w:eastAsia="es-ES"/>
        </w:rPr>
      </w:pPr>
    </w:p>
    <w:p w:rsidR="005C0C69" w:rsidRPr="005C0C69" w:rsidRDefault="005C0C69" w:rsidP="005C0C69">
      <w:pPr>
        <w:numPr>
          <w:ilvl w:val="0"/>
          <w:numId w:val="10"/>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Que, como se desprende de la lectura del petitorio del recurso de apelación de NORDIC, el impugnante solicita tres cosas supuestamente relacionada entre sí: (1) se deje sin efecto el otorgamiento de la Buena Pro a nuestro favor, (2) se descalifique nuestra propuesta, y (3) se otorgue la Buena Pro del ítem 40 al impugnante; ultima solicitud que es un imposible jurídico por haber ocupado el impugnante el tercer lugar en la calificación final del ítem y haber consentido el puntaje final alcanzado por el postor que ocupó el segundo lugar y el suyo propio.</w:t>
      </w:r>
    </w:p>
    <w:p w:rsidR="005C0C69" w:rsidRPr="005C0C69" w:rsidRDefault="005C0C69" w:rsidP="005C0C69">
      <w:pPr>
        <w:spacing w:after="0" w:line="240" w:lineRule="auto"/>
        <w:ind w:left="720" w:firstLine="414"/>
        <w:jc w:val="both"/>
        <w:rPr>
          <w:rFonts w:ascii="Tahoma" w:eastAsia="Times New Roman" w:hAnsi="Tahoma" w:cs="Tahoma"/>
          <w:i/>
          <w:lang w:val="es-ES" w:eastAsia="es-ES"/>
        </w:rPr>
      </w:pPr>
      <w:r w:rsidRPr="005C0C69">
        <w:rPr>
          <w:rFonts w:ascii="Tahoma" w:eastAsia="Times New Roman" w:hAnsi="Tahoma" w:cs="Tahoma"/>
          <w:i/>
          <w:lang w:val="es-ES" w:eastAsia="es-ES"/>
        </w:rPr>
        <w:t>(…)</w:t>
      </w:r>
    </w:p>
    <w:p w:rsidR="005C0C69" w:rsidRPr="005C0C69" w:rsidRDefault="005C0C69" w:rsidP="005C0C69">
      <w:pPr>
        <w:numPr>
          <w:ilvl w:val="0"/>
          <w:numId w:val="10"/>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Que puede comprobarse que en el recurso de apelación no se cuestiona en absoluto la calificación técnica – económica lograda por el postor que ocupó el segundo lugar, Consorcio Pfizer S.A. – Laboratorios Wyeth S.A., y tampoco se cuestionó el puntaje técnico – económico del propio impugnante; por lo tanto, ha quedado consentido por el impugnante el mejor puntaje logrado por el postor que ocupó el segundo lugar.</w:t>
      </w:r>
    </w:p>
    <w:p w:rsidR="005C0C69" w:rsidRPr="005C0C69" w:rsidRDefault="005C0C69" w:rsidP="005C0C69">
      <w:pPr>
        <w:spacing w:after="0" w:line="240" w:lineRule="auto"/>
        <w:ind w:left="720" w:firstLine="414"/>
        <w:jc w:val="both"/>
        <w:rPr>
          <w:rFonts w:ascii="Tahoma" w:eastAsia="Times New Roman" w:hAnsi="Tahoma" w:cs="Tahoma"/>
          <w:i/>
          <w:lang w:val="es-ES" w:eastAsia="es-ES"/>
        </w:rPr>
      </w:pPr>
      <w:r w:rsidRPr="005C0C69">
        <w:rPr>
          <w:rFonts w:ascii="Tahoma" w:eastAsia="Times New Roman" w:hAnsi="Tahoma" w:cs="Tahoma"/>
          <w:i/>
          <w:lang w:val="es-ES" w:eastAsia="es-ES"/>
        </w:rPr>
        <w:lastRenderedPageBreak/>
        <w:t>(…)</w:t>
      </w:r>
    </w:p>
    <w:p w:rsidR="005C0C69" w:rsidRPr="005C0C69" w:rsidRDefault="005C0C69" w:rsidP="005C0C69">
      <w:pPr>
        <w:numPr>
          <w:ilvl w:val="0"/>
          <w:numId w:val="10"/>
        </w:numPr>
        <w:spacing w:after="0" w:line="240" w:lineRule="auto"/>
        <w:ind w:left="1134" w:hanging="566"/>
        <w:jc w:val="both"/>
        <w:rPr>
          <w:rFonts w:ascii="Tahoma" w:eastAsia="Times New Roman" w:hAnsi="Tahoma" w:cs="Tahoma"/>
          <w:i/>
          <w:lang w:val="es-ES" w:eastAsia="es-ES"/>
        </w:rPr>
      </w:pPr>
      <w:r w:rsidRPr="005C0C69">
        <w:rPr>
          <w:rFonts w:ascii="Tahoma" w:eastAsia="Times New Roman" w:hAnsi="Tahoma" w:cs="Tahoma"/>
          <w:i/>
          <w:lang w:val="es-ES" w:eastAsia="es-ES"/>
        </w:rPr>
        <w:t>Por todos los argumentos y pruebas expuestas hasta aquí, confiamos en que el Tribunal declarará la improcedencia de la apelación interpuesta por NORDIC; sin embargo, en aras de la transparencia y por la tranquilidad de la Sala que resolverá, dedicaremos las siguientes líneas a pronunciarnos sobre los infundados y antojadizos argumentos expuestos por el impugnante, los cuales rechazamos totalmente.</w:t>
      </w:r>
    </w:p>
    <w:p w:rsidR="005C0C69" w:rsidRPr="005C0C69" w:rsidRDefault="005C0C69" w:rsidP="005C0C69">
      <w:pPr>
        <w:spacing w:after="0" w:line="240" w:lineRule="auto"/>
        <w:ind w:left="720" w:firstLine="414"/>
        <w:jc w:val="both"/>
        <w:rPr>
          <w:rFonts w:ascii="Tahoma" w:eastAsia="Times New Roman" w:hAnsi="Tahoma" w:cs="Tahoma"/>
          <w:i/>
          <w:lang w:val="es-ES" w:eastAsia="es-ES"/>
        </w:rPr>
      </w:pPr>
      <w:r w:rsidRPr="005C0C69">
        <w:rPr>
          <w:rFonts w:ascii="Tahoma" w:eastAsia="Times New Roman" w:hAnsi="Tahoma" w:cs="Tahoma"/>
          <w:i/>
          <w:lang w:val="es-ES" w:eastAsia="es-ES"/>
        </w:rPr>
        <w:t>(…)</w:t>
      </w:r>
    </w:p>
    <w:p w:rsidR="005C0C69" w:rsidRPr="005C0C69" w:rsidRDefault="005C0C69" w:rsidP="005C0C69">
      <w:pPr>
        <w:numPr>
          <w:ilvl w:val="0"/>
          <w:numId w:val="10"/>
        </w:numPr>
        <w:spacing w:after="0" w:line="240" w:lineRule="auto"/>
        <w:ind w:left="1134" w:hanging="566"/>
        <w:jc w:val="both"/>
        <w:rPr>
          <w:rFonts w:ascii="Tahoma" w:eastAsia="Times New Roman" w:hAnsi="Tahoma" w:cs="Tahoma"/>
          <w:i/>
          <w:lang w:val="es-ES" w:eastAsia="es-ES"/>
        </w:rPr>
      </w:pPr>
      <w:r w:rsidRPr="005C0C69">
        <w:rPr>
          <w:rFonts w:ascii="Tahoma" w:eastAsia="Times New Roman" w:hAnsi="Tahoma" w:cs="Tahoma"/>
          <w:i/>
          <w:lang w:val="es-ES" w:eastAsia="es-ES"/>
        </w:rPr>
        <w:t>Que el impugnante señala que era un requisito técnico mínimo presentar el Registro Sanitario o el Certifico de Registro Sanitario del producto ofertado y que este documento debía estar vigente y ser expedido por DIGEMID. Al respecto, de la revisión de la copia de nuestra propuesta técnica se aprecia que en el folio 478 se encuentra el Certificado de Registro Sanitario Nº 190 que nos autoriza a comercializar Sirolimus 1 mg;  certificado con vigencia hasta el 20 de Septiembre del 2012, y expedido por la DIGEMID el 02 de Febrero de 2010; por lo tanto, es un hecho irrefutable que cumplimos con este requisito técnico mínimo solicitado.</w:t>
      </w:r>
    </w:p>
    <w:p w:rsidR="005C0C69" w:rsidRPr="005C0C69" w:rsidRDefault="005C0C69" w:rsidP="005C0C69">
      <w:pPr>
        <w:spacing w:after="0" w:line="240" w:lineRule="auto"/>
        <w:ind w:left="786" w:firstLine="348"/>
        <w:jc w:val="both"/>
        <w:rPr>
          <w:rFonts w:ascii="Tahoma" w:eastAsia="Times New Roman" w:hAnsi="Tahoma" w:cs="Tahoma"/>
          <w:i/>
          <w:lang w:val="es-ES" w:eastAsia="es-ES"/>
        </w:rPr>
      </w:pPr>
      <w:r w:rsidRPr="005C0C69">
        <w:rPr>
          <w:rFonts w:ascii="Tahoma" w:eastAsia="Times New Roman" w:hAnsi="Tahoma" w:cs="Tahoma"/>
          <w:i/>
          <w:lang w:val="es-ES" w:eastAsia="es-ES"/>
        </w:rPr>
        <w:t>(…)</w:t>
      </w:r>
    </w:p>
    <w:p w:rsidR="005C0C69" w:rsidRPr="005C0C69" w:rsidRDefault="005C0C69" w:rsidP="005C0C69">
      <w:pPr>
        <w:numPr>
          <w:ilvl w:val="0"/>
          <w:numId w:val="10"/>
        </w:numPr>
        <w:spacing w:after="0" w:line="240" w:lineRule="auto"/>
        <w:ind w:left="1134" w:hanging="566"/>
        <w:jc w:val="both"/>
        <w:rPr>
          <w:rFonts w:ascii="Tahoma" w:eastAsia="Times New Roman" w:hAnsi="Tahoma" w:cs="Tahoma"/>
          <w:i/>
          <w:lang w:val="es-ES" w:eastAsia="es-ES"/>
        </w:rPr>
      </w:pPr>
      <w:r w:rsidRPr="005C0C69">
        <w:rPr>
          <w:rFonts w:ascii="Tahoma" w:eastAsia="Times New Roman" w:hAnsi="Tahoma" w:cs="Tahoma"/>
          <w:i/>
          <w:lang w:val="es-ES" w:eastAsia="es-ES"/>
        </w:rPr>
        <w:t>Que, el impugnante solicita temerariamente en su recurso de apelación que “se debe tener por no tener por no presentado el registro sanitario del producto ofertado por el postor Albis S.A.”, aduciendo que las pruebas de control de calidad con resultados conformes del producto tienen diferencia en el peso promedio de la tableta y que este cambio en los excipientes debió ser comunicado a DIGEMID, agregando que no existiría en nuestra propuesta técnica “evidencia alguna de que los documentos se encuentren vigentes al no existir una resolución que así lo autorice, por lo que debe de darse por no presentada”.</w:t>
      </w:r>
    </w:p>
    <w:p w:rsidR="005C0C69" w:rsidRPr="005C0C69" w:rsidRDefault="005C0C69" w:rsidP="005C0C69">
      <w:pPr>
        <w:spacing w:after="0" w:line="240" w:lineRule="auto"/>
        <w:ind w:left="567"/>
        <w:jc w:val="both"/>
        <w:rPr>
          <w:rFonts w:ascii="Tahoma" w:eastAsia="Times New Roman" w:hAnsi="Tahoma" w:cs="Tahoma"/>
          <w:i/>
          <w:lang w:val="es-ES" w:eastAsia="es-ES"/>
        </w:rPr>
      </w:pPr>
    </w:p>
    <w:p w:rsidR="005C0C69" w:rsidRPr="005C0C69" w:rsidRDefault="005C0C69" w:rsidP="005C0C69">
      <w:pPr>
        <w:numPr>
          <w:ilvl w:val="0"/>
          <w:numId w:val="10"/>
        </w:numPr>
        <w:spacing w:after="0" w:line="240" w:lineRule="auto"/>
        <w:ind w:left="1134" w:hanging="566"/>
        <w:jc w:val="both"/>
        <w:rPr>
          <w:rFonts w:ascii="Tahoma" w:eastAsia="Times New Roman" w:hAnsi="Tahoma" w:cs="Tahoma"/>
          <w:i/>
          <w:lang w:val="es-ES" w:eastAsia="es-ES"/>
        </w:rPr>
      </w:pPr>
      <w:r w:rsidRPr="005C0C69">
        <w:rPr>
          <w:rFonts w:ascii="Tahoma" w:eastAsia="Times New Roman" w:hAnsi="Tahoma" w:cs="Tahoma"/>
          <w:i/>
          <w:lang w:val="es-ES" w:eastAsia="es-ES"/>
        </w:rPr>
        <w:t>Sobre esta acusación del impugnante, salta la siguiente interrogante ¿las Bases administrativas de la licitación exigían la obligatoria presentación de las resoluciones que aprobaron cualquier cambio en los datos y especificaciones declaradas para la obtención del Registro Sanitario? La respuesta es sencilla: Las Bases no exigían esta documentación.</w:t>
      </w:r>
    </w:p>
    <w:p w:rsidR="005C0C69" w:rsidRPr="005C0C69" w:rsidRDefault="005C0C69" w:rsidP="005C0C69">
      <w:pPr>
        <w:spacing w:after="0" w:line="240" w:lineRule="auto"/>
        <w:ind w:left="720" w:firstLine="414"/>
        <w:jc w:val="both"/>
        <w:rPr>
          <w:rFonts w:ascii="Tahoma" w:eastAsia="Times New Roman" w:hAnsi="Tahoma" w:cs="Tahoma"/>
          <w:i/>
          <w:lang w:val="es-ES" w:eastAsia="es-ES"/>
        </w:rPr>
      </w:pPr>
      <w:r w:rsidRPr="005C0C69">
        <w:rPr>
          <w:rFonts w:ascii="Tahoma" w:eastAsia="Times New Roman" w:hAnsi="Tahoma" w:cs="Tahoma"/>
          <w:i/>
          <w:lang w:val="es-ES" w:eastAsia="es-ES"/>
        </w:rPr>
        <w:t>(…)</w:t>
      </w:r>
    </w:p>
    <w:p w:rsidR="005C0C69" w:rsidRPr="005C0C69" w:rsidRDefault="005C0C69" w:rsidP="005C0C69">
      <w:pPr>
        <w:numPr>
          <w:ilvl w:val="0"/>
          <w:numId w:val="10"/>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 xml:space="preserve">Manifiesta el impugnante que en ambos informes de ensayo realizados por Hypatia, se consignó inexplicablemente que las técnicas y especificaciones utilizadas fueron laboratorio de origen y USP32 </w:t>
      </w:r>
      <w:r w:rsidRPr="005C0C69">
        <w:rPr>
          <w:rFonts w:ascii="Tahoma" w:eastAsia="Times New Roman" w:hAnsi="Tahoma" w:cs="Tahoma"/>
          <w:i/>
          <w:lang w:val="es-ES" w:eastAsia="es-ES"/>
        </w:rPr>
        <w:sym w:font="Symbol" w:char="F03C"/>
      </w:r>
      <w:r w:rsidRPr="005C0C69">
        <w:rPr>
          <w:rFonts w:ascii="Tahoma" w:eastAsia="Times New Roman" w:hAnsi="Tahoma" w:cs="Tahoma"/>
          <w:i/>
          <w:lang w:val="es-ES" w:eastAsia="es-ES"/>
        </w:rPr>
        <w:t>61</w:t>
      </w:r>
      <w:r w:rsidRPr="005C0C69">
        <w:rPr>
          <w:rFonts w:ascii="Tahoma" w:eastAsia="Times New Roman" w:hAnsi="Tahoma" w:cs="Tahoma"/>
          <w:i/>
          <w:lang w:val="es-ES" w:eastAsia="es-ES"/>
        </w:rPr>
        <w:sym w:font="Symbol" w:char="F03E"/>
      </w:r>
      <w:r w:rsidRPr="005C0C69">
        <w:rPr>
          <w:rFonts w:ascii="Tahoma" w:eastAsia="Times New Roman" w:hAnsi="Tahoma" w:cs="Tahoma"/>
          <w:i/>
          <w:lang w:val="es-ES" w:eastAsia="es-ES"/>
        </w:rPr>
        <w:t xml:space="preserve"> para Examen microbiológico de productos no estériles: pruebas de recuento microbiano   </w:t>
      </w:r>
      <w:r w:rsidRPr="005C0C69">
        <w:rPr>
          <w:rFonts w:ascii="Tahoma" w:eastAsia="Times New Roman" w:hAnsi="Tahoma" w:cs="Tahoma"/>
          <w:i/>
          <w:lang w:val="es-ES" w:eastAsia="es-ES"/>
        </w:rPr>
        <w:sym w:font="Symbol" w:char="F03C"/>
      </w:r>
      <w:r w:rsidRPr="005C0C69">
        <w:rPr>
          <w:rFonts w:ascii="Tahoma" w:eastAsia="Times New Roman" w:hAnsi="Tahoma" w:cs="Tahoma"/>
          <w:i/>
          <w:lang w:val="es-ES" w:eastAsia="es-ES"/>
        </w:rPr>
        <w:t>62</w:t>
      </w:r>
      <w:r w:rsidRPr="005C0C69">
        <w:rPr>
          <w:rFonts w:ascii="Tahoma" w:eastAsia="Times New Roman" w:hAnsi="Tahoma" w:cs="Tahoma"/>
          <w:i/>
          <w:lang w:val="es-ES" w:eastAsia="es-ES"/>
        </w:rPr>
        <w:sym w:font="Symbol" w:char="F03E"/>
      </w:r>
      <w:r w:rsidRPr="005C0C69">
        <w:rPr>
          <w:rFonts w:ascii="Tahoma" w:eastAsia="Times New Roman" w:hAnsi="Tahoma" w:cs="Tahoma"/>
          <w:i/>
          <w:lang w:val="es-ES" w:eastAsia="es-ES"/>
        </w:rPr>
        <w:t xml:space="preserve"> Examen microbiológico de productos no estériles: prueba de </w:t>
      </w:r>
      <w:r w:rsidRPr="005C0C69">
        <w:rPr>
          <w:rFonts w:ascii="Tahoma" w:eastAsia="Times New Roman" w:hAnsi="Tahoma" w:cs="Tahoma"/>
          <w:i/>
          <w:lang w:val="es-ES" w:eastAsia="es-ES"/>
        </w:rPr>
        <w:lastRenderedPageBreak/>
        <w:t xml:space="preserve">microorganismos específicos, lo que según ellos quiere decir que no se respetaron los lineamientos especificados en la metodología analítica propia. </w:t>
      </w:r>
    </w:p>
    <w:p w:rsidR="005C0C69" w:rsidRPr="005C0C69" w:rsidRDefault="005C0C69" w:rsidP="005C0C69">
      <w:pPr>
        <w:spacing w:after="0" w:line="240" w:lineRule="auto"/>
        <w:ind w:left="567"/>
        <w:jc w:val="both"/>
        <w:rPr>
          <w:rFonts w:ascii="Tahoma" w:eastAsia="Times New Roman" w:hAnsi="Tahoma" w:cs="Tahoma"/>
          <w:i/>
          <w:lang w:val="es-ES" w:eastAsia="es-ES"/>
        </w:rPr>
      </w:pPr>
    </w:p>
    <w:p w:rsidR="005C0C69" w:rsidRPr="005C0C69" w:rsidRDefault="005C0C69" w:rsidP="005C0C69">
      <w:pPr>
        <w:numPr>
          <w:ilvl w:val="0"/>
          <w:numId w:val="10"/>
        </w:numPr>
        <w:spacing w:after="0" w:line="240" w:lineRule="auto"/>
        <w:ind w:left="1134" w:hanging="567"/>
        <w:jc w:val="both"/>
        <w:rPr>
          <w:rFonts w:ascii="Tahoma" w:eastAsia="Times New Roman" w:hAnsi="Tahoma" w:cs="Tahoma"/>
          <w:i/>
          <w:lang w:val="es-ES" w:eastAsia="es-ES"/>
        </w:rPr>
      </w:pPr>
      <w:r w:rsidRPr="005C0C69">
        <w:rPr>
          <w:rFonts w:ascii="Tahoma" w:eastAsia="Times New Roman" w:hAnsi="Tahoma" w:cs="Tahoma"/>
          <w:i/>
          <w:lang w:val="es-ES" w:eastAsia="es-ES"/>
        </w:rPr>
        <w:t>Al respecto debemos señalar que, de acuerdo al artículo 127 del D. S. 010-97-SA “Para verificar la calidad de los productos que no se encuentran comprendidos en farmacopeas, se aplicará la metodología analítica del fabricante para las pruebas específicas y la última edición de la U.S.P., para las pruebas generales indicadas para la forma farmacéutica correspondiente, a menos que el titular del Registro Sanitario hubiera señalado, al momento de solicitar el registro, una farmacopea específica para las pruebas generales”.</w:t>
      </w:r>
    </w:p>
    <w:p w:rsidR="005C0C69" w:rsidRPr="005C0C69" w:rsidRDefault="005C0C69" w:rsidP="005C0C69">
      <w:pPr>
        <w:spacing w:after="0" w:line="240" w:lineRule="auto"/>
        <w:ind w:left="567"/>
        <w:jc w:val="both"/>
        <w:rPr>
          <w:rFonts w:ascii="Tahoma" w:eastAsia="Times New Roman" w:hAnsi="Tahoma" w:cs="Tahoma"/>
          <w:i/>
          <w:lang w:val="es-ES" w:eastAsia="es-ES"/>
        </w:rPr>
      </w:pPr>
    </w:p>
    <w:p w:rsidR="005C0C69" w:rsidRPr="005C0C69" w:rsidRDefault="005C0C69" w:rsidP="00151613">
      <w:pPr>
        <w:numPr>
          <w:ilvl w:val="0"/>
          <w:numId w:val="10"/>
        </w:numPr>
        <w:spacing w:after="0" w:line="240" w:lineRule="auto"/>
        <w:ind w:left="1134" w:hanging="566"/>
        <w:jc w:val="both"/>
        <w:rPr>
          <w:rFonts w:ascii="Tahoma" w:eastAsia="Times New Roman" w:hAnsi="Tahoma" w:cs="Tahoma"/>
          <w:i/>
          <w:lang w:val="es-ES" w:eastAsia="es-ES"/>
        </w:rPr>
      </w:pPr>
      <w:r w:rsidRPr="005C0C69">
        <w:rPr>
          <w:rFonts w:ascii="Tahoma" w:eastAsia="Times New Roman" w:hAnsi="Tahoma" w:cs="Tahoma"/>
          <w:i/>
          <w:lang w:val="es-ES" w:eastAsia="es-ES"/>
        </w:rPr>
        <w:t xml:space="preserve">En el caso del producto Sirolimus 1mg comprimidos recubiertos (SIROTAN), por tratarse de un producto que no se encuentra comprendido en farmacopeas oficiales de referencia, HYPATIA S.A., aplicó la técnica analítica del fabricante para las pruebas específicas y la última edición de la USP capítulos </w:t>
      </w:r>
      <w:r w:rsidRPr="005C0C69">
        <w:rPr>
          <w:rFonts w:ascii="Tahoma" w:eastAsia="Times New Roman" w:hAnsi="Tahoma" w:cs="Tahoma"/>
          <w:i/>
          <w:lang w:val="es-ES" w:eastAsia="es-ES"/>
        </w:rPr>
        <w:sym w:font="Symbol" w:char="F03C"/>
      </w:r>
      <w:r w:rsidRPr="005C0C69">
        <w:rPr>
          <w:rFonts w:ascii="Tahoma" w:eastAsia="Times New Roman" w:hAnsi="Tahoma" w:cs="Tahoma"/>
          <w:i/>
          <w:lang w:val="es-ES" w:eastAsia="es-ES"/>
        </w:rPr>
        <w:t xml:space="preserve"> 61</w:t>
      </w:r>
      <w:r w:rsidRPr="005C0C69">
        <w:rPr>
          <w:rFonts w:ascii="Tahoma" w:eastAsia="Times New Roman" w:hAnsi="Tahoma" w:cs="Tahoma"/>
          <w:i/>
          <w:lang w:val="es-ES" w:eastAsia="es-ES"/>
        </w:rPr>
        <w:sym w:font="Symbol" w:char="F03E"/>
      </w:r>
      <w:r w:rsidRPr="005C0C69">
        <w:rPr>
          <w:rFonts w:ascii="Tahoma" w:eastAsia="Times New Roman" w:hAnsi="Tahoma" w:cs="Tahoma"/>
          <w:i/>
          <w:lang w:val="es-ES" w:eastAsia="es-ES"/>
        </w:rPr>
        <w:t xml:space="preserve"> y </w:t>
      </w:r>
      <w:r w:rsidRPr="005C0C69">
        <w:rPr>
          <w:rFonts w:ascii="Tahoma" w:eastAsia="Times New Roman" w:hAnsi="Tahoma" w:cs="Tahoma"/>
          <w:i/>
          <w:lang w:val="es-ES" w:eastAsia="es-ES"/>
        </w:rPr>
        <w:sym w:font="Symbol" w:char="F03C"/>
      </w:r>
      <w:r w:rsidRPr="005C0C69">
        <w:rPr>
          <w:rFonts w:ascii="Tahoma" w:eastAsia="Times New Roman" w:hAnsi="Tahoma" w:cs="Tahoma"/>
          <w:i/>
          <w:lang w:val="es-ES" w:eastAsia="es-ES"/>
        </w:rPr>
        <w:t>62</w:t>
      </w:r>
      <w:r w:rsidRPr="005C0C69">
        <w:rPr>
          <w:rFonts w:ascii="Tahoma" w:eastAsia="Times New Roman" w:hAnsi="Tahoma" w:cs="Tahoma"/>
          <w:i/>
          <w:lang w:val="es-ES" w:eastAsia="es-ES"/>
        </w:rPr>
        <w:sym w:font="Symbol" w:char="F03E"/>
      </w:r>
      <w:r w:rsidRPr="005C0C69">
        <w:rPr>
          <w:rFonts w:ascii="Tahoma" w:eastAsia="Times New Roman" w:hAnsi="Tahoma" w:cs="Tahoma"/>
          <w:i/>
          <w:lang w:val="es-ES" w:eastAsia="es-ES"/>
        </w:rPr>
        <w:t xml:space="preserve"> vigentes a la fecha en que este laboratorio analizó el producto para las pruebas generales. Por tanto, los informes de ensayo emitidos por Hypatia cumplen con la mencionada norma ya que siguieron los lineamientos para las pruebas específicas de la técnica propia del fabricante y los lineamientos de la USP 32 o USP33 teniendo en cuenta la fecha de análisis del producto por dicho laboratorio. (…)”</w:t>
      </w:r>
    </w:p>
    <w:p w:rsidR="005C0C69" w:rsidRPr="005C0C69" w:rsidRDefault="005C0C69" w:rsidP="00151613">
      <w:pPr>
        <w:spacing w:after="0" w:line="240" w:lineRule="auto"/>
        <w:jc w:val="both"/>
        <w:rPr>
          <w:rFonts w:ascii="Tahoma" w:eastAsia="Times New Roman" w:hAnsi="Tahoma" w:cs="Tahoma"/>
          <w:lang w:val="es-ES" w:eastAsia="es-ES"/>
        </w:rPr>
      </w:pPr>
    </w:p>
    <w:p w:rsidR="005C0C69" w:rsidRPr="005C0C69" w:rsidRDefault="005C0C69" w:rsidP="00151613">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lang w:val="es-ES" w:eastAsia="es-ES"/>
        </w:rPr>
        <w:t>Con fecha 26 de Agosto de 2011, el postor impugnante presentó un escrito que denominó “absolución de descargos del recurso de apelación”, en el cual manifiestan lo siguiente:</w:t>
      </w:r>
    </w:p>
    <w:p w:rsidR="005C0C69" w:rsidRPr="005C0C69" w:rsidRDefault="005C0C69" w:rsidP="00151613">
      <w:pPr>
        <w:spacing w:after="0" w:line="240" w:lineRule="auto"/>
        <w:ind w:left="708"/>
        <w:rPr>
          <w:rFonts w:ascii="Tahoma" w:eastAsia="Times New Roman" w:hAnsi="Tahoma" w:cs="Tahoma"/>
          <w:lang w:val="es-ES" w:eastAsia="es-ES"/>
        </w:rPr>
      </w:pPr>
    </w:p>
    <w:p w:rsidR="005C0C69" w:rsidRPr="005C0C69" w:rsidRDefault="005C0C69" w:rsidP="00151613">
      <w:pPr>
        <w:spacing w:after="0" w:line="240" w:lineRule="auto"/>
        <w:ind w:left="567"/>
        <w:jc w:val="both"/>
        <w:rPr>
          <w:rFonts w:ascii="Tahoma" w:eastAsia="Times New Roman" w:hAnsi="Tahoma" w:cs="Tahoma"/>
          <w:lang w:val="es-ES" w:eastAsia="es-ES"/>
        </w:rPr>
      </w:pPr>
      <w:r w:rsidRPr="005C0C69">
        <w:rPr>
          <w:rFonts w:ascii="Tahoma" w:eastAsia="Times New Roman" w:hAnsi="Tahoma" w:cs="Tahoma"/>
          <w:lang w:val="es-ES" w:eastAsia="es-ES"/>
        </w:rPr>
        <w:t xml:space="preserve">“(…) </w:t>
      </w:r>
      <w:r w:rsidRPr="005C0C69">
        <w:rPr>
          <w:rFonts w:ascii="Tahoma" w:eastAsia="Times New Roman" w:hAnsi="Tahoma" w:cs="Tahoma"/>
          <w:i/>
          <w:lang w:val="es-ES" w:eastAsia="es-ES"/>
        </w:rPr>
        <w:t>Que, a efectos de que la Cuarta Sala del Tribunal de Contrataciones del Estado tenga mejores elementos de juicio al momento de resolver; oportunamente y por ser nuestro derecho constitucional de defensa ampliamos nuestro escrito de descargos primigenio con la finalidad de acreditar que el Consorcio que ocupó el segundo lugar (Consorcio Pfizer S.A. – Laboratorios Wyeth S.A.) en orden de prelación de la Licitación Pública Nº 11-2010/ESSALUD/GCL Ítem Nº 40, tampoco cumple con los requerimiento técnicos mínimos; por lo que solicitamos que sea descalificada su propuesta y en consecuencia se nos otorgue la Buena Pro de dicho proceso de selección</w:t>
      </w:r>
      <w:r w:rsidRPr="005C0C69">
        <w:rPr>
          <w:rFonts w:ascii="Tahoma" w:eastAsia="Times New Roman" w:hAnsi="Tahoma" w:cs="Tahoma"/>
          <w:lang w:val="es-ES" w:eastAsia="es-ES"/>
        </w:rPr>
        <w:t xml:space="preserve"> (…)” (SIC) </w:t>
      </w:r>
    </w:p>
    <w:p w:rsidR="005C0C69" w:rsidRPr="005C0C69" w:rsidRDefault="005C0C69" w:rsidP="00151613">
      <w:pPr>
        <w:spacing w:after="0" w:line="240" w:lineRule="auto"/>
        <w:ind w:left="567"/>
        <w:jc w:val="both"/>
        <w:rPr>
          <w:rFonts w:ascii="Tahoma" w:eastAsia="Times New Roman" w:hAnsi="Tahoma" w:cs="Tahoma"/>
          <w:lang w:val="es-ES" w:eastAsia="es-ES"/>
        </w:rPr>
      </w:pPr>
    </w:p>
    <w:p w:rsidR="005C0C69" w:rsidRPr="005C0C69" w:rsidRDefault="005C0C69" w:rsidP="00151613">
      <w:pPr>
        <w:numPr>
          <w:ilvl w:val="0"/>
          <w:numId w:val="2"/>
        </w:numPr>
        <w:spacing w:after="0" w:line="240" w:lineRule="auto"/>
        <w:ind w:left="567" w:hanging="567"/>
        <w:jc w:val="both"/>
        <w:rPr>
          <w:rFonts w:ascii="Tahoma" w:hAnsi="Tahoma" w:cs="Tahoma"/>
          <w:lang w:val="es-ES_tradnl" w:eastAsia="es-ES"/>
        </w:rPr>
      </w:pPr>
      <w:r w:rsidRPr="005C0C69">
        <w:rPr>
          <w:rFonts w:ascii="Tahoma" w:eastAsia="Times New Roman" w:hAnsi="Tahoma" w:cs="Tahoma"/>
          <w:lang w:val="es-ES" w:eastAsia="es-ES"/>
        </w:rPr>
        <w:t>Con escrito de fecha 31 de Agosto de 2011, el postor impugnante presentó ampliación a su informe efectuado en la Audiencia Pública.</w:t>
      </w:r>
    </w:p>
    <w:p w:rsidR="005C0C69" w:rsidRPr="005C0C69" w:rsidRDefault="005C0C69" w:rsidP="00151613">
      <w:pPr>
        <w:spacing w:after="0" w:line="240" w:lineRule="auto"/>
        <w:ind w:left="567"/>
        <w:jc w:val="both"/>
        <w:rPr>
          <w:rFonts w:ascii="Tahoma" w:hAnsi="Tahoma" w:cs="Tahoma"/>
          <w:lang w:val="es-ES_tradnl" w:eastAsia="es-ES"/>
        </w:rPr>
      </w:pPr>
    </w:p>
    <w:p w:rsidR="005C0C69" w:rsidRPr="005C0C69" w:rsidRDefault="005C0C69" w:rsidP="00151613">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hAnsi="Tahoma" w:cs="Tahoma"/>
          <w:lang w:val="es-ES_tradnl" w:eastAsia="es-ES"/>
        </w:rPr>
        <w:lastRenderedPageBreak/>
        <w:t xml:space="preserve">Con fecha 31 de Agosto del 2011, se llevó a cabo la diligencia de Audiencia Pública, en el cual efectuaron sus respectivos informes el postor Impugnante, el Tercero Administrado y la Entidad. </w:t>
      </w:r>
    </w:p>
    <w:p w:rsidR="005C0C69" w:rsidRPr="005C0C69" w:rsidRDefault="005C0C69" w:rsidP="00151613">
      <w:pPr>
        <w:spacing w:after="0" w:line="240" w:lineRule="auto"/>
        <w:ind w:left="708"/>
        <w:rPr>
          <w:rFonts w:ascii="Tahoma" w:eastAsia="Times New Roman" w:hAnsi="Tahoma" w:cs="Tahoma"/>
          <w:lang w:val="es-ES" w:eastAsia="es-ES"/>
        </w:rPr>
      </w:pPr>
    </w:p>
    <w:p w:rsidR="005C0C69" w:rsidRPr="005C0C69" w:rsidRDefault="005C0C69" w:rsidP="00151613">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lang w:val="es-ES" w:eastAsia="es-ES"/>
        </w:rPr>
        <w:t>Con escrito de fecha 01 de Septiembre de 2011, el Impugnante presentó escrito de alegatos, solicitando adicionalmente la abstención de la vocal Dammar Salazar Díaz, de que siga conociendo el presente recurso, por supuesto adelanto de opinión sobre el presente recurso.</w:t>
      </w:r>
    </w:p>
    <w:p w:rsidR="005C0C69" w:rsidRPr="005C0C69" w:rsidRDefault="005C0C69" w:rsidP="00151613">
      <w:pPr>
        <w:spacing w:after="0" w:line="240" w:lineRule="auto"/>
        <w:ind w:left="567" w:hanging="567"/>
        <w:rPr>
          <w:rFonts w:ascii="Tahoma" w:eastAsia="Times New Roman" w:hAnsi="Tahoma" w:cs="Tahoma"/>
          <w:lang w:val="es-ES" w:eastAsia="es-ES"/>
        </w:rPr>
      </w:pPr>
    </w:p>
    <w:p w:rsidR="005C0C69" w:rsidRPr="003825E3" w:rsidRDefault="005C0C69" w:rsidP="00151613">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lang w:val="es-ES" w:eastAsia="es-ES"/>
        </w:rPr>
        <w:t xml:space="preserve">Con decreto de fecha 01 de Septiembre de declaró el presente expediente listo para resolver. </w:t>
      </w:r>
    </w:p>
    <w:p w:rsidR="005C0C69" w:rsidRPr="003825E3" w:rsidRDefault="005C0C69" w:rsidP="00151613">
      <w:pPr>
        <w:pStyle w:val="Prrafodelista"/>
        <w:spacing w:after="0" w:line="240" w:lineRule="auto"/>
        <w:ind w:left="567" w:hanging="567"/>
        <w:rPr>
          <w:rFonts w:ascii="Tahoma" w:eastAsia="Times New Roman" w:hAnsi="Tahoma" w:cs="Tahoma"/>
          <w:lang w:val="es-ES" w:eastAsia="es-ES"/>
        </w:rPr>
      </w:pPr>
    </w:p>
    <w:p w:rsidR="005C0C69" w:rsidRPr="003825E3" w:rsidRDefault="005C0C69" w:rsidP="00151613">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lang w:val="es-ES" w:eastAsia="es-ES"/>
        </w:rPr>
        <w:t>Con decreto de fecha 08 de Septiembre del 2011, se declaró No ha Lugar la solicitud de abstención de la Dra. Dammar Salazar Díaz, del presente expediente administrativo.</w:t>
      </w:r>
    </w:p>
    <w:p w:rsidR="005C0C69" w:rsidRPr="003825E3" w:rsidRDefault="005C0C69" w:rsidP="00151613">
      <w:pPr>
        <w:pStyle w:val="Prrafodelista"/>
        <w:spacing w:after="0" w:line="240" w:lineRule="auto"/>
        <w:ind w:left="567" w:hanging="567"/>
        <w:rPr>
          <w:rFonts w:ascii="Tahoma" w:eastAsia="Times New Roman" w:hAnsi="Tahoma" w:cs="Tahoma"/>
          <w:lang w:val="es-ES" w:eastAsia="es-ES"/>
        </w:rPr>
      </w:pPr>
    </w:p>
    <w:p w:rsidR="005C0C69" w:rsidRPr="003825E3" w:rsidRDefault="005C0C69" w:rsidP="00151613">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lang w:val="es-ES" w:eastAsia="es-ES"/>
        </w:rPr>
        <w:t xml:space="preserve">Con decreto de fecha 08 de Septiembre de 2011, se dejó sin efecto el decreto de fecha 01 de Septiembre del mismo año con el cual se declaró el presente expediente Listo para Resolver. </w:t>
      </w:r>
      <w:r w:rsidRPr="005C0C69">
        <w:rPr>
          <w:rFonts w:ascii="Tahoma" w:eastAsia="Times New Roman" w:hAnsi="Tahoma" w:cs="Tahoma"/>
          <w:color w:val="000000"/>
          <w:lang w:val="es-ES_tradnl" w:eastAsia="es-ES"/>
        </w:rPr>
        <w:t>Considerando que mediante Resolución Nº 574-2011-OSCE/PRE de fecha 02 de Septiembre de 2011, publicada el  04 de Septiembre del mismo año en el Diario Oficial El Peruano, se dispuso la reconformación de las Cuatro Salas del Tribunal de Contrataciones del Estado, designándose a los Presidentes y Vocales conformantes de cada Sala; en consecuencia se remitió el presente expediente a la Primera Sala del Tribunal para que resuelva.</w:t>
      </w:r>
    </w:p>
    <w:p w:rsidR="005C0C69" w:rsidRPr="003825E3" w:rsidRDefault="005C0C69" w:rsidP="00151613">
      <w:pPr>
        <w:pStyle w:val="Prrafodelista"/>
        <w:spacing w:after="0" w:line="240" w:lineRule="auto"/>
        <w:rPr>
          <w:rFonts w:ascii="Tahoma" w:eastAsia="Times New Roman" w:hAnsi="Tahoma" w:cs="Tahoma"/>
          <w:lang w:val="es-ES" w:eastAsia="es-ES"/>
        </w:rPr>
      </w:pPr>
    </w:p>
    <w:p w:rsidR="005C0C69" w:rsidRPr="003825E3" w:rsidRDefault="005C0C69" w:rsidP="00151613">
      <w:pPr>
        <w:numPr>
          <w:ilvl w:val="0"/>
          <w:numId w:val="2"/>
        </w:numPr>
        <w:spacing w:after="0" w:line="240" w:lineRule="auto"/>
        <w:ind w:left="567" w:hanging="567"/>
        <w:jc w:val="both"/>
        <w:rPr>
          <w:rFonts w:ascii="Tahoma" w:eastAsia="Times New Roman" w:hAnsi="Tahoma" w:cs="Tahoma"/>
          <w:lang w:val="es-ES" w:eastAsia="es-ES"/>
        </w:rPr>
      </w:pPr>
      <w:r w:rsidRPr="003825E3">
        <w:rPr>
          <w:rFonts w:ascii="Tahoma" w:eastAsia="Times New Roman" w:hAnsi="Tahoma" w:cs="Tahoma"/>
          <w:lang w:val="es-ES" w:eastAsia="es-ES"/>
        </w:rPr>
        <w:t>Con escrito de fecha 14 de Septiembre del 2011, el impugnante renovó su Carta Fianza.</w:t>
      </w:r>
    </w:p>
    <w:p w:rsidR="005C0C69" w:rsidRPr="003825E3" w:rsidRDefault="005C0C69" w:rsidP="00151613">
      <w:pPr>
        <w:pStyle w:val="Prrafodelista"/>
        <w:spacing w:after="0" w:line="240" w:lineRule="auto"/>
        <w:rPr>
          <w:rFonts w:ascii="Tahoma" w:eastAsia="Times New Roman" w:hAnsi="Tahoma" w:cs="Tahoma"/>
          <w:lang w:val="es-ES" w:eastAsia="es-ES"/>
        </w:rPr>
      </w:pPr>
    </w:p>
    <w:p w:rsidR="005C0C69" w:rsidRPr="003825E3" w:rsidRDefault="005C0C69" w:rsidP="00151613">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lang w:val="es-ES" w:eastAsia="es-ES"/>
        </w:rPr>
        <w:t xml:space="preserve">Con fecha 14 de Septiembre de 2011, se llevó a cabo la diligencia de Audiencia Pública, en la cual el impugnante, el tercero administrado y la Entidad realizaron sus respectivos informes. </w:t>
      </w:r>
    </w:p>
    <w:p w:rsidR="005C0C69" w:rsidRPr="003825E3" w:rsidRDefault="005C0C69" w:rsidP="00151613">
      <w:pPr>
        <w:pStyle w:val="Prrafodelista"/>
        <w:spacing w:after="0" w:line="240" w:lineRule="auto"/>
        <w:rPr>
          <w:rFonts w:ascii="Tahoma" w:eastAsia="Times New Roman" w:hAnsi="Tahoma" w:cs="Tahoma"/>
          <w:lang w:val="es-ES" w:eastAsia="es-ES"/>
        </w:rPr>
      </w:pPr>
    </w:p>
    <w:p w:rsidR="005C0C69" w:rsidRPr="003825E3" w:rsidRDefault="005C0C69" w:rsidP="00151613">
      <w:pPr>
        <w:numPr>
          <w:ilvl w:val="0"/>
          <w:numId w:val="2"/>
        </w:numPr>
        <w:spacing w:after="0" w:line="240" w:lineRule="auto"/>
        <w:ind w:left="567" w:hanging="567"/>
        <w:jc w:val="both"/>
        <w:rPr>
          <w:rFonts w:ascii="Tahoma" w:eastAsia="Times New Roman" w:hAnsi="Tahoma" w:cs="Tahoma"/>
          <w:lang w:val="es-ES" w:eastAsia="es-ES"/>
        </w:rPr>
      </w:pPr>
      <w:r w:rsidRPr="003825E3">
        <w:rPr>
          <w:rFonts w:ascii="Tahoma" w:eastAsia="Times New Roman" w:hAnsi="Tahoma" w:cs="Tahoma"/>
          <w:lang w:val="es-ES" w:eastAsia="es-ES"/>
        </w:rPr>
        <w:t>Con escrito de fecha 14 de Septiembre del 2011, la empresa ALBIS S.A., presentó alegatos.</w:t>
      </w:r>
    </w:p>
    <w:p w:rsidR="005C0C69" w:rsidRPr="003825E3" w:rsidRDefault="005C0C69" w:rsidP="00151613">
      <w:pPr>
        <w:pStyle w:val="Prrafodelista"/>
        <w:spacing w:after="0" w:line="240" w:lineRule="auto"/>
        <w:rPr>
          <w:rFonts w:ascii="Tahoma" w:eastAsia="Times New Roman" w:hAnsi="Tahoma" w:cs="Tahoma"/>
          <w:lang w:val="es-ES" w:eastAsia="es-ES"/>
        </w:rPr>
      </w:pPr>
    </w:p>
    <w:p w:rsidR="005C0C69" w:rsidRPr="003825E3" w:rsidRDefault="005C0C69" w:rsidP="00151613">
      <w:pPr>
        <w:numPr>
          <w:ilvl w:val="0"/>
          <w:numId w:val="2"/>
        </w:numPr>
        <w:spacing w:after="0" w:line="240" w:lineRule="auto"/>
        <w:ind w:left="567" w:hanging="567"/>
        <w:jc w:val="both"/>
        <w:rPr>
          <w:rFonts w:ascii="Tahoma" w:eastAsia="Times New Roman" w:hAnsi="Tahoma" w:cs="Tahoma"/>
          <w:lang w:val="es-ES" w:eastAsia="es-ES"/>
        </w:rPr>
      </w:pPr>
      <w:r w:rsidRPr="005C0C69">
        <w:rPr>
          <w:rFonts w:ascii="Tahoma" w:eastAsia="Times New Roman" w:hAnsi="Tahoma" w:cs="Tahoma"/>
          <w:lang w:val="es-ES" w:eastAsia="es-ES"/>
        </w:rPr>
        <w:t>Con fecha 15 de Septiembre de 2011, se declaró el expediente listo para resolver.</w:t>
      </w:r>
    </w:p>
    <w:p w:rsidR="00151613" w:rsidRPr="003825E3" w:rsidRDefault="00151613" w:rsidP="00151613">
      <w:pPr>
        <w:pStyle w:val="Prrafodelista"/>
        <w:spacing w:after="0" w:line="240" w:lineRule="auto"/>
        <w:rPr>
          <w:rFonts w:ascii="Tahoma" w:eastAsia="Times New Roman" w:hAnsi="Tahoma" w:cs="Tahoma"/>
          <w:lang w:val="es-ES" w:eastAsia="es-ES"/>
        </w:rPr>
      </w:pPr>
    </w:p>
    <w:p w:rsidR="00151613" w:rsidRPr="005C0C69" w:rsidRDefault="00151613" w:rsidP="00151613">
      <w:pPr>
        <w:numPr>
          <w:ilvl w:val="0"/>
          <w:numId w:val="2"/>
        </w:numPr>
        <w:spacing w:after="0" w:line="240" w:lineRule="auto"/>
        <w:ind w:left="567" w:hanging="567"/>
        <w:jc w:val="both"/>
        <w:rPr>
          <w:rFonts w:ascii="Tahoma" w:eastAsia="Times New Roman" w:hAnsi="Tahoma" w:cs="Tahoma"/>
          <w:lang w:val="es-ES" w:eastAsia="es-ES"/>
        </w:rPr>
      </w:pPr>
      <w:r w:rsidRPr="003825E3">
        <w:rPr>
          <w:rFonts w:ascii="Tahoma" w:eastAsia="Times New Roman" w:hAnsi="Tahoma" w:cs="Tahoma"/>
          <w:lang w:val="es-ES" w:eastAsia="es-ES"/>
        </w:rPr>
        <w:t>Con escrito de fecha 16 de Septiembre de 2011, el impugnante presentó alegatos para mejor resolver.</w:t>
      </w:r>
    </w:p>
    <w:p w:rsidR="005C0C69" w:rsidRPr="003825E3" w:rsidRDefault="005C0C69" w:rsidP="005C0C69">
      <w:pPr>
        <w:spacing w:after="0" w:line="240" w:lineRule="auto"/>
        <w:ind w:left="540" w:hanging="540"/>
        <w:jc w:val="both"/>
        <w:rPr>
          <w:rFonts w:ascii="Tahoma" w:eastAsia="Times New Roman" w:hAnsi="Tahoma" w:cs="Tahoma"/>
          <w:lang w:val="es-ES" w:eastAsia="es-ES"/>
        </w:rPr>
      </w:pPr>
    </w:p>
    <w:p w:rsidR="005C0C69" w:rsidRPr="003825E3" w:rsidRDefault="005C0C69" w:rsidP="005C0C69">
      <w:pPr>
        <w:spacing w:after="0" w:line="240" w:lineRule="auto"/>
        <w:ind w:firstLine="708"/>
        <w:rPr>
          <w:rFonts w:ascii="Tahoma" w:eastAsia="Times New Roman" w:hAnsi="Tahoma" w:cs="Tahoma"/>
          <w:b/>
          <w:lang w:val="es-ES" w:eastAsia="es-ES"/>
        </w:rPr>
      </w:pPr>
      <w:r w:rsidRPr="003825E3">
        <w:rPr>
          <w:rFonts w:ascii="Tahoma" w:eastAsia="Times New Roman" w:hAnsi="Tahoma" w:cs="Tahoma"/>
          <w:b/>
          <w:lang w:val="es-ES" w:eastAsia="es-ES"/>
        </w:rPr>
        <w:lastRenderedPageBreak/>
        <w:t>FUNDAMENTACIÓN:</w:t>
      </w:r>
    </w:p>
    <w:p w:rsidR="005C0C69" w:rsidRPr="003825E3" w:rsidRDefault="005C0C69" w:rsidP="005C0C69">
      <w:pPr>
        <w:spacing w:after="0" w:line="240" w:lineRule="auto"/>
        <w:ind w:left="540" w:hanging="540"/>
        <w:jc w:val="both"/>
        <w:rPr>
          <w:rFonts w:ascii="Tahoma" w:eastAsia="Times New Roman" w:hAnsi="Tahoma" w:cs="Tahoma"/>
          <w:lang w:val="es-ES" w:eastAsia="es-ES"/>
        </w:rPr>
      </w:pPr>
    </w:p>
    <w:p w:rsidR="00151613" w:rsidRPr="00151613" w:rsidRDefault="00151613" w:rsidP="00151613">
      <w:pPr>
        <w:numPr>
          <w:ilvl w:val="0"/>
          <w:numId w:val="11"/>
        </w:numPr>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val="es-ES" w:eastAsia="es-ES"/>
        </w:rPr>
        <w:t>Es materia del presente procedimiento el recurso de apelación interpuesto por la empresa NORDIC PHARMACEUTICAL COMPANY S.A.C., respecto del Ít</w:t>
      </w:r>
      <w:r w:rsidRPr="00151613">
        <w:rPr>
          <w:rFonts w:ascii="Tahoma" w:eastAsia="Times New Roman" w:hAnsi="Tahoma" w:cs="Tahoma"/>
          <w:lang w:eastAsia="es-ES"/>
        </w:rPr>
        <w:t>em Nº 40 de la Licitación Pública Nº 011-2010-ESSALUD/GCL.</w:t>
      </w:r>
    </w:p>
    <w:p w:rsidR="00151613" w:rsidRPr="00151613" w:rsidRDefault="00151613" w:rsidP="00151613">
      <w:pPr>
        <w:spacing w:after="0" w:line="240" w:lineRule="auto"/>
        <w:ind w:left="567"/>
        <w:jc w:val="both"/>
        <w:rPr>
          <w:rFonts w:ascii="Tahoma" w:eastAsia="Times New Roman" w:hAnsi="Tahoma" w:cs="Tahoma"/>
          <w:lang w:val="es-ES" w:eastAsia="es-ES"/>
        </w:rPr>
      </w:pPr>
    </w:p>
    <w:p w:rsidR="00151613" w:rsidRPr="00151613" w:rsidRDefault="00151613" w:rsidP="00151613">
      <w:pPr>
        <w:numPr>
          <w:ilvl w:val="0"/>
          <w:numId w:val="12"/>
        </w:numPr>
        <w:tabs>
          <w:tab w:val="left" w:pos="567"/>
        </w:tabs>
        <w:autoSpaceDE w:val="0"/>
        <w:autoSpaceDN w:val="0"/>
        <w:adjustRightInd w:val="0"/>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val="es-ES" w:eastAsia="es-ES"/>
        </w:rPr>
        <w:t>Como fluye de los antecedentes expuestos, los puntos controvertidos  planteados por El Impugnante pueden resumirse en los siguientes términos:</w:t>
      </w:r>
    </w:p>
    <w:p w:rsidR="00151613" w:rsidRPr="00151613" w:rsidRDefault="00151613" w:rsidP="00151613">
      <w:pPr>
        <w:tabs>
          <w:tab w:val="left" w:pos="567"/>
        </w:tabs>
        <w:autoSpaceDE w:val="0"/>
        <w:autoSpaceDN w:val="0"/>
        <w:adjustRightInd w:val="0"/>
        <w:spacing w:after="0" w:line="240" w:lineRule="auto"/>
        <w:ind w:left="567"/>
        <w:jc w:val="both"/>
        <w:rPr>
          <w:rFonts w:ascii="Tahoma" w:eastAsia="Times New Roman" w:hAnsi="Tahoma" w:cs="Tahoma"/>
          <w:lang w:val="es-ES" w:eastAsia="es-ES"/>
        </w:rPr>
      </w:pPr>
    </w:p>
    <w:p w:rsidR="00151613" w:rsidRPr="00151613" w:rsidRDefault="00151613" w:rsidP="00151613">
      <w:pPr>
        <w:numPr>
          <w:ilvl w:val="0"/>
          <w:numId w:val="13"/>
        </w:numPr>
        <w:tabs>
          <w:tab w:val="left" w:pos="1134"/>
        </w:tabs>
        <w:autoSpaceDE w:val="0"/>
        <w:autoSpaceDN w:val="0"/>
        <w:adjustRightInd w:val="0"/>
        <w:spacing w:after="0" w:line="240" w:lineRule="auto"/>
        <w:ind w:left="1134" w:hanging="567"/>
        <w:jc w:val="both"/>
        <w:rPr>
          <w:rFonts w:ascii="Tahoma" w:eastAsia="Times New Roman" w:hAnsi="Tahoma" w:cs="Tahoma"/>
          <w:lang w:val="es-ES" w:eastAsia="es-ES"/>
        </w:rPr>
      </w:pPr>
      <w:r w:rsidRPr="00151613">
        <w:rPr>
          <w:rFonts w:ascii="Tahoma" w:eastAsia="Times New Roman" w:hAnsi="Tahoma" w:cs="Tahoma"/>
          <w:lang w:val="es-ES" w:eastAsia="es-ES"/>
        </w:rPr>
        <w:t>Determinar si corresponde descalificar la propuesta del Postor Albis S.A., para el ítem 40</w:t>
      </w:r>
    </w:p>
    <w:p w:rsidR="00151613" w:rsidRPr="00151613" w:rsidRDefault="00151613" w:rsidP="00151613">
      <w:pPr>
        <w:tabs>
          <w:tab w:val="left" w:pos="1134"/>
        </w:tabs>
        <w:autoSpaceDE w:val="0"/>
        <w:autoSpaceDN w:val="0"/>
        <w:adjustRightInd w:val="0"/>
        <w:spacing w:after="0" w:line="240" w:lineRule="auto"/>
        <w:ind w:left="1134" w:hanging="567"/>
        <w:jc w:val="both"/>
        <w:rPr>
          <w:rFonts w:ascii="Tahoma" w:eastAsia="Times New Roman" w:hAnsi="Tahoma" w:cs="Tahoma"/>
          <w:lang w:val="es-ES" w:eastAsia="es-ES"/>
        </w:rPr>
      </w:pPr>
    </w:p>
    <w:p w:rsidR="00151613" w:rsidRPr="00151613" w:rsidRDefault="00151613" w:rsidP="00151613">
      <w:pPr>
        <w:numPr>
          <w:ilvl w:val="0"/>
          <w:numId w:val="14"/>
        </w:numPr>
        <w:tabs>
          <w:tab w:val="left" w:pos="1134"/>
        </w:tabs>
        <w:autoSpaceDE w:val="0"/>
        <w:autoSpaceDN w:val="0"/>
        <w:adjustRightInd w:val="0"/>
        <w:spacing w:after="0" w:line="240" w:lineRule="auto"/>
        <w:ind w:left="1134" w:hanging="567"/>
        <w:jc w:val="both"/>
        <w:rPr>
          <w:rFonts w:ascii="Tahoma" w:eastAsia="Times New Roman" w:hAnsi="Tahoma" w:cs="Tahoma"/>
          <w:lang w:val="es-ES" w:eastAsia="es-ES"/>
        </w:rPr>
      </w:pPr>
      <w:r w:rsidRPr="00151613">
        <w:rPr>
          <w:rFonts w:ascii="Tahoma" w:eastAsia="Times New Roman" w:hAnsi="Tahoma" w:cs="Tahoma"/>
          <w:lang w:val="es-ES" w:eastAsia="es-ES"/>
        </w:rPr>
        <w:t>Determinar si corresponde el otorgamiento de la Buena Pro a la empresa impugnante respecto del Ítem Nº 40</w:t>
      </w:r>
      <w:r w:rsidRPr="00151613">
        <w:rPr>
          <w:rFonts w:ascii="Tahoma" w:eastAsia="Times New Roman" w:hAnsi="Tahoma" w:cs="Tahoma"/>
          <w:color w:val="000000"/>
          <w:lang w:val="es-ES" w:eastAsia="es-ES"/>
        </w:rPr>
        <w:t>.</w:t>
      </w:r>
    </w:p>
    <w:p w:rsidR="00151613" w:rsidRPr="00151613" w:rsidRDefault="00151613" w:rsidP="00151613">
      <w:pPr>
        <w:spacing w:after="0" w:line="240" w:lineRule="auto"/>
        <w:ind w:left="567"/>
        <w:jc w:val="both"/>
        <w:rPr>
          <w:rFonts w:ascii="Tahoma" w:eastAsia="Times New Roman" w:hAnsi="Tahoma" w:cs="Tahoma"/>
          <w:lang w:val="es-ES" w:eastAsia="es-ES"/>
        </w:rPr>
      </w:pPr>
    </w:p>
    <w:p w:rsidR="00151613" w:rsidRPr="00151613" w:rsidRDefault="00151613" w:rsidP="00151613">
      <w:pPr>
        <w:tabs>
          <w:tab w:val="left" w:pos="567"/>
        </w:tabs>
        <w:autoSpaceDE w:val="0"/>
        <w:autoSpaceDN w:val="0"/>
        <w:adjustRightInd w:val="0"/>
        <w:spacing w:after="0" w:line="240" w:lineRule="auto"/>
        <w:ind w:left="567"/>
        <w:jc w:val="both"/>
        <w:rPr>
          <w:rFonts w:ascii="Tahoma" w:eastAsia="Times New Roman" w:hAnsi="Tahoma" w:cs="Tahoma"/>
          <w:b/>
          <w:lang w:val="es-ES" w:eastAsia="es-ES"/>
        </w:rPr>
      </w:pPr>
      <w:r w:rsidRPr="00151613">
        <w:rPr>
          <w:rFonts w:ascii="Tahoma" w:eastAsia="Times New Roman" w:hAnsi="Tahoma" w:cs="Tahoma"/>
          <w:b/>
          <w:lang w:val="es-ES" w:eastAsia="es-ES"/>
        </w:rPr>
        <w:t>CUESTIÓN PREVIA</w:t>
      </w:r>
    </w:p>
    <w:p w:rsidR="00151613" w:rsidRPr="00151613" w:rsidRDefault="00151613" w:rsidP="00151613">
      <w:pPr>
        <w:tabs>
          <w:tab w:val="left" w:pos="567"/>
        </w:tabs>
        <w:autoSpaceDE w:val="0"/>
        <w:autoSpaceDN w:val="0"/>
        <w:adjustRightInd w:val="0"/>
        <w:spacing w:after="0" w:line="240" w:lineRule="auto"/>
        <w:ind w:left="567"/>
        <w:jc w:val="both"/>
        <w:rPr>
          <w:rFonts w:ascii="Tahoma" w:eastAsia="Times New Roman" w:hAnsi="Tahoma" w:cs="Tahoma"/>
          <w:lang w:val="es-ES" w:eastAsia="es-ES"/>
        </w:rPr>
      </w:pPr>
    </w:p>
    <w:p w:rsidR="00151613" w:rsidRPr="00151613" w:rsidRDefault="00151613" w:rsidP="00151613">
      <w:pPr>
        <w:numPr>
          <w:ilvl w:val="0"/>
          <w:numId w:val="12"/>
        </w:numPr>
        <w:tabs>
          <w:tab w:val="left" w:pos="567"/>
        </w:tabs>
        <w:autoSpaceDE w:val="0"/>
        <w:autoSpaceDN w:val="0"/>
        <w:adjustRightInd w:val="0"/>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val="es-ES" w:eastAsia="es-ES"/>
        </w:rPr>
        <w:t xml:space="preserve">Previamente al análisis de los puntos controvertidos propuestos, corresponde analizar  si procede el Recurso de Apelación interpuesto por </w:t>
      </w:r>
      <w:r w:rsidRPr="00151613">
        <w:rPr>
          <w:rFonts w:ascii="Tahoma" w:eastAsia="Times New Roman" w:hAnsi="Tahoma" w:cs="Tahoma"/>
          <w:color w:val="000000"/>
          <w:lang w:val="es-ES" w:eastAsia="es-ES"/>
        </w:rPr>
        <w:t>El Impugnante.</w:t>
      </w:r>
    </w:p>
    <w:p w:rsidR="00151613" w:rsidRPr="00151613" w:rsidRDefault="00151613" w:rsidP="00151613">
      <w:pPr>
        <w:tabs>
          <w:tab w:val="left" w:pos="567"/>
        </w:tabs>
        <w:autoSpaceDE w:val="0"/>
        <w:autoSpaceDN w:val="0"/>
        <w:adjustRightInd w:val="0"/>
        <w:spacing w:after="0" w:line="240" w:lineRule="auto"/>
        <w:ind w:left="567"/>
        <w:jc w:val="both"/>
        <w:rPr>
          <w:rFonts w:ascii="Tahoma" w:eastAsia="Times New Roman" w:hAnsi="Tahoma" w:cs="Tahoma"/>
          <w:color w:val="000000"/>
          <w:lang w:val="es-ES" w:eastAsia="es-ES"/>
        </w:rPr>
      </w:pPr>
    </w:p>
    <w:p w:rsidR="00151613" w:rsidRPr="00151613" w:rsidRDefault="00151613" w:rsidP="00151613">
      <w:pPr>
        <w:spacing w:after="0" w:line="240" w:lineRule="auto"/>
        <w:ind w:left="567"/>
        <w:jc w:val="both"/>
        <w:rPr>
          <w:rFonts w:ascii="Tahoma" w:eastAsia="Times New Roman" w:hAnsi="Tahoma" w:cs="Tahoma"/>
          <w:b/>
          <w:lang w:val="es-ES" w:eastAsia="es-PE"/>
        </w:rPr>
      </w:pPr>
      <w:r w:rsidRPr="00151613">
        <w:rPr>
          <w:rFonts w:ascii="Tahoma" w:eastAsia="Times New Roman" w:hAnsi="Tahoma" w:cs="Tahoma"/>
          <w:b/>
          <w:lang w:val="es-ES" w:eastAsia="es-PE"/>
        </w:rPr>
        <w:t>RESPECTO A LA CONEXIÓN LÓGICA ENTRE LOS HECHOS EXPUESTOS Y EL PETITORIO DEL RECURSO</w:t>
      </w:r>
    </w:p>
    <w:p w:rsidR="00151613" w:rsidRPr="00151613" w:rsidRDefault="00151613" w:rsidP="00151613">
      <w:pPr>
        <w:tabs>
          <w:tab w:val="left" w:pos="567"/>
        </w:tabs>
        <w:autoSpaceDE w:val="0"/>
        <w:autoSpaceDN w:val="0"/>
        <w:adjustRightInd w:val="0"/>
        <w:spacing w:after="0" w:line="240" w:lineRule="auto"/>
        <w:ind w:left="567"/>
        <w:jc w:val="both"/>
        <w:rPr>
          <w:rFonts w:ascii="Tahoma" w:eastAsia="Times New Roman" w:hAnsi="Tahoma" w:cs="Tahoma"/>
          <w:lang w:val="es-ES" w:eastAsia="es-ES"/>
        </w:rPr>
      </w:pPr>
    </w:p>
    <w:p w:rsidR="00151613" w:rsidRPr="00151613" w:rsidRDefault="00151613" w:rsidP="00151613">
      <w:pPr>
        <w:numPr>
          <w:ilvl w:val="0"/>
          <w:numId w:val="12"/>
        </w:numPr>
        <w:tabs>
          <w:tab w:val="left" w:pos="567"/>
        </w:tabs>
        <w:autoSpaceDE w:val="0"/>
        <w:autoSpaceDN w:val="0"/>
        <w:adjustRightInd w:val="0"/>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val="es-ES" w:eastAsia="es-ES"/>
        </w:rPr>
        <w:t>Un primer asunto que debe ser materia de examen es el cumplimiento de los requisitos de orden formal y sustancial en la interposición del recurso que motiva la presente. En este sentido, a efectos que este Colegiado pueda emitir un pronunciamiento válido respecto del proceso materia de impugnación, debe verificar, en primer lugar, si se configura alguna de las causales de improcedencia establecidas en el artículo 111 del Reglamento de la Ley de Contrataciones del Estado</w:t>
      </w:r>
      <w:r w:rsidRPr="00151613">
        <w:rPr>
          <w:rFonts w:ascii="Tahoma" w:eastAsia="Times New Roman" w:hAnsi="Tahoma" w:cs="Tahoma"/>
          <w:vertAlign w:val="superscript"/>
          <w:lang w:val="es-ES" w:eastAsia="es-ES"/>
        </w:rPr>
        <w:footnoteReference w:id="2"/>
      </w:r>
      <w:r w:rsidRPr="00151613">
        <w:rPr>
          <w:rFonts w:ascii="Tahoma" w:eastAsia="Times New Roman" w:hAnsi="Tahoma" w:cs="Tahoma"/>
          <w:lang w:val="es-ES" w:eastAsia="es-ES"/>
        </w:rPr>
        <w:t>, en adelante el Reglamento, en cuyo caso se deberá declarar improcedente el recurso interpuesto, sin emitir pronunciamiento sobre el fondo de la controversia.</w:t>
      </w:r>
    </w:p>
    <w:p w:rsidR="00151613" w:rsidRPr="00151613" w:rsidRDefault="00151613" w:rsidP="00151613">
      <w:pPr>
        <w:tabs>
          <w:tab w:val="left" w:pos="567"/>
        </w:tabs>
        <w:autoSpaceDE w:val="0"/>
        <w:autoSpaceDN w:val="0"/>
        <w:adjustRightInd w:val="0"/>
        <w:spacing w:after="0" w:line="240" w:lineRule="auto"/>
        <w:ind w:left="567"/>
        <w:jc w:val="both"/>
        <w:rPr>
          <w:rFonts w:ascii="Tahoma" w:eastAsia="Times New Roman" w:hAnsi="Tahoma" w:cs="Tahoma"/>
          <w:lang w:val="es-ES" w:eastAsia="es-ES"/>
        </w:rPr>
      </w:pPr>
    </w:p>
    <w:p w:rsidR="00151613" w:rsidRPr="00151613" w:rsidRDefault="00151613" w:rsidP="00151613">
      <w:pPr>
        <w:numPr>
          <w:ilvl w:val="0"/>
          <w:numId w:val="12"/>
        </w:numPr>
        <w:tabs>
          <w:tab w:val="left" w:pos="567"/>
        </w:tabs>
        <w:autoSpaceDE w:val="0"/>
        <w:autoSpaceDN w:val="0"/>
        <w:adjustRightInd w:val="0"/>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val="es-ES" w:eastAsia="es-ES"/>
        </w:rPr>
        <w:t>Al respecto, debe advertirse que conforme al petitorio planteado por el impugnante, el recurso de apelación tiene como objeto se descalifique al postor ganador, porque supuestamente incumplió los requerimientos técnicos mínimos, de modo que así pueda revocarse la buena pro otorgada a su favor y ésta sea adjudicada al recurrente.</w:t>
      </w:r>
    </w:p>
    <w:p w:rsidR="00151613" w:rsidRPr="00151613" w:rsidRDefault="00151613" w:rsidP="00151613">
      <w:pPr>
        <w:spacing w:after="0" w:line="240" w:lineRule="auto"/>
        <w:ind w:left="708"/>
        <w:rPr>
          <w:rFonts w:ascii="Tahoma" w:eastAsia="Times New Roman" w:hAnsi="Tahoma" w:cs="Tahoma"/>
          <w:lang w:val="es-ES" w:eastAsia="es-ES"/>
        </w:rPr>
      </w:pPr>
    </w:p>
    <w:p w:rsidR="00151613" w:rsidRPr="00151613" w:rsidRDefault="00151613" w:rsidP="00151613">
      <w:pPr>
        <w:numPr>
          <w:ilvl w:val="0"/>
          <w:numId w:val="12"/>
        </w:numPr>
        <w:tabs>
          <w:tab w:val="left" w:pos="567"/>
        </w:tabs>
        <w:autoSpaceDE w:val="0"/>
        <w:autoSpaceDN w:val="0"/>
        <w:adjustRightInd w:val="0"/>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val="es-ES" w:eastAsia="es-ES"/>
        </w:rPr>
        <w:lastRenderedPageBreak/>
        <w:t>S</w:t>
      </w:r>
      <w:r w:rsidRPr="00151613">
        <w:rPr>
          <w:rFonts w:ascii="Tahoma" w:eastAsia="Times New Roman" w:hAnsi="Tahoma" w:cs="Tahoma"/>
          <w:lang w:eastAsia="es-ES"/>
        </w:rPr>
        <w:t xml:space="preserve">obre el particular, debe entenderse que el petitorio constituye el objeto mismo de la pretensión, es decir, aquello que realmente busca obtener el administrado con la interposición de su recurso impugnativo. En esta línea argumental, es relevante señalar que los fundamentos que sustentan el petitorio están referidos a la configuración de hechos ocurridos que permiten la posibilidad de proponer la pretensión, es decir, que no sólo sustentan la pretensión sino que, más bien, grafican la situación de facto por la cual se exige una consecuencia jurídica. </w:t>
      </w:r>
    </w:p>
    <w:p w:rsidR="00151613" w:rsidRPr="00151613" w:rsidRDefault="00151613" w:rsidP="00151613">
      <w:pPr>
        <w:spacing w:after="0" w:line="240" w:lineRule="auto"/>
        <w:ind w:left="708"/>
        <w:rPr>
          <w:rFonts w:ascii="Tahoma" w:eastAsia="Times New Roman" w:hAnsi="Tahoma" w:cs="Tahoma"/>
          <w:lang w:eastAsia="es-ES"/>
        </w:rPr>
      </w:pPr>
    </w:p>
    <w:p w:rsidR="00151613" w:rsidRPr="00151613" w:rsidRDefault="00151613" w:rsidP="00151613">
      <w:pPr>
        <w:numPr>
          <w:ilvl w:val="0"/>
          <w:numId w:val="12"/>
        </w:numPr>
        <w:tabs>
          <w:tab w:val="left" w:pos="567"/>
        </w:tabs>
        <w:autoSpaceDE w:val="0"/>
        <w:autoSpaceDN w:val="0"/>
        <w:adjustRightInd w:val="0"/>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eastAsia="es-ES"/>
        </w:rPr>
        <w:t>En el caso que nos ocupa, es posible colegir que el petitorio formulado por el impugnante se encuentra dirigido a la obtención de la buena pro a su favor, bajo el argumento que el Comité Especial no calificó correctamente la propuesta técnica del postor adjudicatario de la buena pro, solicitando, al efecto, se revoque la misma, y explícitamente, como consecuencia de ello, se otorgue la buena pro a su favor.</w:t>
      </w:r>
    </w:p>
    <w:p w:rsidR="00151613" w:rsidRPr="00151613" w:rsidRDefault="00151613" w:rsidP="00151613">
      <w:pPr>
        <w:spacing w:after="0" w:line="240" w:lineRule="auto"/>
        <w:ind w:left="708"/>
        <w:rPr>
          <w:rFonts w:ascii="Tahoma" w:eastAsia="Times New Roman" w:hAnsi="Tahoma" w:cs="Tahoma"/>
          <w:lang w:val="es-ES" w:eastAsia="es-ES"/>
        </w:rPr>
      </w:pPr>
    </w:p>
    <w:p w:rsidR="00151613" w:rsidRPr="00151613" w:rsidRDefault="00151613" w:rsidP="00151613">
      <w:pPr>
        <w:numPr>
          <w:ilvl w:val="0"/>
          <w:numId w:val="12"/>
        </w:numPr>
        <w:tabs>
          <w:tab w:val="left" w:pos="567"/>
        </w:tabs>
        <w:autoSpaceDE w:val="0"/>
        <w:autoSpaceDN w:val="0"/>
        <w:adjustRightInd w:val="0"/>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val="es-ES" w:eastAsia="es-ES"/>
        </w:rPr>
        <w:t xml:space="preserve">En ese sentido, de la revisión del cuadro de evaluación y calificación de propuestas obrante en los antecedentes administrativos, se advierte que el  Impugnante ocupó el tercer lugar en el orden de prelación, por lo que para alcanzar el objetivo de su petitorio, esto es, que se le adjudique la buena pro, debe superar el puntaje alcanzado por las propuestas presentadas por los postores que han obtenido el primer y segundo lugar o, en su defecto, lograr la descalificación de las ofertas de éstos.    </w:t>
      </w:r>
    </w:p>
    <w:p w:rsidR="00151613" w:rsidRPr="00151613" w:rsidRDefault="00151613" w:rsidP="00151613">
      <w:pPr>
        <w:spacing w:after="0" w:line="240" w:lineRule="auto"/>
        <w:ind w:left="708"/>
        <w:rPr>
          <w:rFonts w:ascii="Tahoma" w:eastAsia="Times New Roman" w:hAnsi="Tahoma" w:cs="Tahoma"/>
          <w:lang w:val="es-ES" w:eastAsia="es-ES"/>
        </w:rPr>
      </w:pPr>
    </w:p>
    <w:p w:rsidR="00151613" w:rsidRPr="00151613" w:rsidRDefault="00151613" w:rsidP="00151613">
      <w:pPr>
        <w:numPr>
          <w:ilvl w:val="0"/>
          <w:numId w:val="12"/>
        </w:numPr>
        <w:tabs>
          <w:tab w:val="left" w:pos="567"/>
        </w:tabs>
        <w:autoSpaceDE w:val="0"/>
        <w:autoSpaceDN w:val="0"/>
        <w:adjustRightInd w:val="0"/>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val="es-ES" w:eastAsia="es-ES"/>
        </w:rPr>
        <w:t>Sin embargo, el petitorio del recurrente se encuentra dirigido únicamente a la descalificación del postor adjudicado de la Buena Pro -</w:t>
      </w:r>
      <w:r w:rsidRPr="00151613">
        <w:rPr>
          <w:rFonts w:ascii="Tahoma" w:eastAsia="Times New Roman" w:hAnsi="Tahoma" w:cs="Tahoma"/>
          <w:i/>
          <w:lang w:val="es-ES" w:eastAsia="es-ES"/>
        </w:rPr>
        <w:t xml:space="preserve"> Albis S.A.</w:t>
      </w:r>
      <w:r w:rsidRPr="00151613">
        <w:rPr>
          <w:rFonts w:ascii="Tahoma" w:eastAsia="Times New Roman" w:hAnsi="Tahoma" w:cs="Tahoma"/>
          <w:lang w:val="es-ES" w:eastAsia="es-ES"/>
        </w:rPr>
        <w:t>, siendo relevante indicar que con relación al postor que ocupó el segundo lugar, Consorcio Pfizer S.A. – Laboratorios Wyeth S.A.</w:t>
      </w:r>
      <w:r w:rsidRPr="00151613">
        <w:rPr>
          <w:rFonts w:ascii="Tahoma" w:eastAsia="Times New Roman" w:hAnsi="Tahoma" w:cs="Tahoma"/>
          <w:lang w:eastAsia="es-ES"/>
        </w:rPr>
        <w:t>,</w:t>
      </w:r>
      <w:r w:rsidRPr="00151613">
        <w:rPr>
          <w:rFonts w:ascii="Tahoma" w:eastAsia="Times New Roman" w:hAnsi="Tahoma" w:cs="Tahoma"/>
          <w:lang w:val="es-ES" w:eastAsia="es-ES"/>
        </w:rPr>
        <w:t xml:space="preserve"> no formuló cuestionamiento alguno, lo cual implica el consentimiento de la calificación que, respectivamente, se le otorgó a este último. </w:t>
      </w:r>
    </w:p>
    <w:p w:rsidR="00151613" w:rsidRPr="00151613" w:rsidRDefault="00151613" w:rsidP="00151613">
      <w:pPr>
        <w:spacing w:after="0" w:line="240" w:lineRule="auto"/>
        <w:ind w:left="708"/>
        <w:rPr>
          <w:rFonts w:ascii="Tahoma" w:eastAsia="Times New Roman" w:hAnsi="Tahoma" w:cs="Tahoma"/>
          <w:lang w:val="es-ES" w:eastAsia="es-ES"/>
        </w:rPr>
      </w:pPr>
    </w:p>
    <w:p w:rsidR="00151613" w:rsidRPr="00151613" w:rsidRDefault="00151613" w:rsidP="00151613">
      <w:pPr>
        <w:numPr>
          <w:ilvl w:val="0"/>
          <w:numId w:val="12"/>
        </w:numPr>
        <w:tabs>
          <w:tab w:val="left" w:pos="567"/>
        </w:tabs>
        <w:autoSpaceDE w:val="0"/>
        <w:autoSpaceDN w:val="0"/>
        <w:adjustRightInd w:val="0"/>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val="es-ES" w:eastAsia="es-ES"/>
        </w:rPr>
        <w:t xml:space="preserve">Ahora bien, el impugnante sostuvo durante el uso de la palabra en la diligencia de Audiencia Pública, que si bien en su recurso de apelación presentado el 19 de Julio de 2011, no se pronunció respecto a la propuesta presentada por el postor que ocupó el segundo lugar, subsanó dicha omisión con el escrito de fecha 31 de Agosto del mismo año, y que en razón al numeral 140.4 del artículo 140 de la Ley de Procedimiento Administrativo General Ley 27444, el plazo para efectuar la subsanación a subsanación no precluye en procesos administrativos.    </w:t>
      </w:r>
      <w:r w:rsidRPr="00151613">
        <w:rPr>
          <w:rFonts w:ascii="Tahoma" w:eastAsia="Times New Roman" w:hAnsi="Tahoma" w:cs="Tahoma"/>
          <w:color w:val="000000"/>
          <w:lang w:val="es-ES" w:eastAsia="es-ES"/>
        </w:rPr>
        <w:t xml:space="preserve"> </w:t>
      </w:r>
    </w:p>
    <w:p w:rsidR="00151613" w:rsidRPr="00151613" w:rsidRDefault="00151613" w:rsidP="00151613">
      <w:pPr>
        <w:spacing w:after="0" w:line="240" w:lineRule="auto"/>
        <w:ind w:left="708"/>
        <w:rPr>
          <w:rFonts w:ascii="Tahoma" w:eastAsia="Times New Roman" w:hAnsi="Tahoma" w:cs="Tahoma"/>
          <w:lang w:val="es-ES" w:eastAsia="es-ES"/>
        </w:rPr>
      </w:pPr>
    </w:p>
    <w:p w:rsidR="00151613" w:rsidRPr="00151613" w:rsidRDefault="00151613" w:rsidP="00151613">
      <w:pPr>
        <w:numPr>
          <w:ilvl w:val="0"/>
          <w:numId w:val="12"/>
        </w:numPr>
        <w:tabs>
          <w:tab w:val="left" w:pos="567"/>
        </w:tabs>
        <w:autoSpaceDE w:val="0"/>
        <w:autoSpaceDN w:val="0"/>
        <w:adjustRightInd w:val="0"/>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val="es-ES" w:eastAsia="es-ES"/>
        </w:rPr>
        <w:t xml:space="preserve">Al respecto, es menester resaltar que el artículo 110 del Reglamento de Contrataciones del Estado, establece que en caso de omisión, </w:t>
      </w:r>
      <w:r w:rsidRPr="00151613">
        <w:rPr>
          <w:rFonts w:ascii="Tahoma" w:eastAsia="Times New Roman" w:hAnsi="Tahoma" w:cs="Tahoma"/>
          <w:b/>
          <w:u w:val="single"/>
          <w:lang w:val="es-ES" w:eastAsia="es-ES"/>
        </w:rPr>
        <w:t>el impugnante deberá subsanarlo en el plazo máximo de dos (02) días hábiles desde la presentación de su recurso</w:t>
      </w:r>
      <w:r w:rsidRPr="00151613">
        <w:rPr>
          <w:rFonts w:ascii="Tahoma" w:eastAsia="Times New Roman" w:hAnsi="Tahoma" w:cs="Tahoma"/>
          <w:lang w:val="es-ES" w:eastAsia="es-ES"/>
        </w:rPr>
        <w:t xml:space="preserve">, por lo cual el postor no puede pretender que se </w:t>
      </w:r>
      <w:r w:rsidRPr="00151613">
        <w:rPr>
          <w:rFonts w:ascii="Tahoma" w:eastAsia="Times New Roman" w:hAnsi="Tahoma" w:cs="Tahoma"/>
          <w:lang w:val="es-ES" w:eastAsia="es-ES"/>
        </w:rPr>
        <w:lastRenderedPageBreak/>
        <w:t>entienda por subsanado la omisión del petitorio de su recurso de apelación un (01) mes con trece (13) días después de presentado el mismo, más aún si la norma especial en materia de contrataciones establece un plazo máximo de dos (02) días hábiles para subsanar las omisiones concurridas en la presentación de su recurso de apelación, con lo cual queda desvirtuada la hipótesis del impugnante</w:t>
      </w:r>
      <w:r w:rsidRPr="00151613">
        <w:rPr>
          <w:rFonts w:ascii="Tahoma" w:eastAsia="Times New Roman" w:hAnsi="Tahoma" w:cs="Tahoma"/>
          <w:color w:val="000000"/>
          <w:lang w:val="es-ES" w:eastAsia="es-ES"/>
        </w:rPr>
        <w:t>.</w:t>
      </w:r>
    </w:p>
    <w:p w:rsidR="00151613" w:rsidRPr="00151613" w:rsidRDefault="00151613" w:rsidP="00151613">
      <w:pPr>
        <w:spacing w:after="0" w:line="240" w:lineRule="auto"/>
        <w:ind w:left="708"/>
        <w:rPr>
          <w:rFonts w:ascii="Tahoma" w:eastAsia="Times New Roman" w:hAnsi="Tahoma" w:cs="Tahoma"/>
          <w:color w:val="000000"/>
          <w:lang w:val="es-ES" w:eastAsia="es-ES"/>
        </w:rPr>
      </w:pPr>
    </w:p>
    <w:p w:rsidR="00151613" w:rsidRPr="00151613" w:rsidRDefault="00151613" w:rsidP="00151613">
      <w:pPr>
        <w:numPr>
          <w:ilvl w:val="0"/>
          <w:numId w:val="12"/>
        </w:numPr>
        <w:tabs>
          <w:tab w:val="left" w:pos="567"/>
        </w:tabs>
        <w:autoSpaceDE w:val="0"/>
        <w:autoSpaceDN w:val="0"/>
        <w:adjustRightInd w:val="0"/>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color w:val="000000"/>
          <w:lang w:val="es-ES" w:eastAsia="es-ES"/>
        </w:rPr>
        <w:t>Asimismo, debemos precisar que el  párrafo</w:t>
      </w:r>
      <w:r w:rsidRPr="00151613">
        <w:rPr>
          <w:rFonts w:ascii="Tahoma" w:eastAsia="Times New Roman" w:hAnsi="Tahoma" w:cs="Tahoma"/>
          <w:lang w:val="es-ES" w:eastAsia="es-ES"/>
        </w:rPr>
        <w:t xml:space="preserve"> 140.4 del artículo 140 de la Ley de Procedimiento Administrativo General Ley 27444 establece que: “</w:t>
      </w:r>
      <w:r w:rsidRPr="00151613">
        <w:rPr>
          <w:rFonts w:ascii="Tahoma" w:eastAsia="Times New Roman" w:hAnsi="Tahoma" w:cs="Tahoma"/>
          <w:i/>
          <w:lang w:val="es-ES" w:eastAsia="es-ES"/>
        </w:rPr>
        <w:t xml:space="preserve">la preclusión por el vencimiento de plazos administrativos opera en procedimientos trilaterales, concurrenciales </w:t>
      </w:r>
      <w:r w:rsidRPr="00151613">
        <w:rPr>
          <w:rFonts w:ascii="Tahoma" w:eastAsia="Times New Roman" w:hAnsi="Tahoma" w:cs="Tahoma"/>
          <w:b/>
          <w:i/>
          <w:u w:val="single"/>
          <w:lang w:val="es-ES" w:eastAsia="es-ES"/>
        </w:rPr>
        <w:t>y en aquellos que por existir dos o más interesados con intereses divergentes, deba asegurárseles tratamiento paritario</w:t>
      </w:r>
      <w:r w:rsidRPr="00151613">
        <w:rPr>
          <w:rFonts w:ascii="Tahoma" w:eastAsia="Times New Roman" w:hAnsi="Tahoma" w:cs="Tahoma"/>
          <w:lang w:val="es-ES" w:eastAsia="es-ES"/>
        </w:rPr>
        <w:t>”, lo cual difiere de lo manifestado por el impugnante.</w:t>
      </w:r>
    </w:p>
    <w:p w:rsidR="00151613" w:rsidRPr="00151613" w:rsidRDefault="00151613" w:rsidP="00151613">
      <w:pPr>
        <w:spacing w:after="0" w:line="240" w:lineRule="auto"/>
        <w:ind w:left="708"/>
        <w:rPr>
          <w:rFonts w:ascii="Tahoma" w:eastAsia="Times New Roman" w:hAnsi="Tahoma" w:cs="Tahoma"/>
          <w:lang w:val="es-ES" w:eastAsia="es-ES"/>
        </w:rPr>
      </w:pPr>
    </w:p>
    <w:p w:rsidR="00151613" w:rsidRPr="00151613" w:rsidRDefault="00151613" w:rsidP="00151613">
      <w:pPr>
        <w:numPr>
          <w:ilvl w:val="0"/>
          <w:numId w:val="12"/>
        </w:numPr>
        <w:tabs>
          <w:tab w:val="left" w:pos="567"/>
        </w:tabs>
        <w:autoSpaceDE w:val="0"/>
        <w:autoSpaceDN w:val="0"/>
        <w:adjustRightInd w:val="0"/>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val="es-ES" w:eastAsia="es-ES"/>
        </w:rPr>
        <w:t>En el marco de la evaluación del petitorio efectuado en el recurso de apelación presentado y de lo manifestado en la diligencia de Audiencia por el impugnante, este colegiado corrobora que la pretensión del impugnante se sustenta en las objeciones a la evaluación y calificación del postor ganador de la buena pro, no habiendo el recurrente formulado observación alguna respecto de la propuesta del postor que ocupó el segundo lugar, cuya posición ha quedado administrativamente firme, se infiere que, aún en el supuesto que este Colegiado decidiera validar los cuestionamientos realizados respecto de la oferta del postor ganador y procediera a descalificarla, el impugnante ocuparía el segundo lugar, de modo que el objetivo principal que persigue el recurso de apelación, es decir, el otorgamiento de la buena pro, le sería ajeno.</w:t>
      </w:r>
    </w:p>
    <w:p w:rsidR="00151613" w:rsidRPr="00151613" w:rsidRDefault="00151613" w:rsidP="00151613">
      <w:pPr>
        <w:spacing w:after="0" w:line="240" w:lineRule="auto"/>
        <w:ind w:left="708"/>
        <w:rPr>
          <w:rFonts w:ascii="Tahoma" w:eastAsia="Times New Roman" w:hAnsi="Tahoma" w:cs="Tahoma"/>
          <w:lang w:val="es-ES" w:eastAsia="es-ES"/>
        </w:rPr>
      </w:pPr>
    </w:p>
    <w:p w:rsidR="00151613" w:rsidRPr="00151613" w:rsidRDefault="00151613" w:rsidP="00151613">
      <w:pPr>
        <w:numPr>
          <w:ilvl w:val="0"/>
          <w:numId w:val="12"/>
        </w:numPr>
        <w:tabs>
          <w:tab w:val="left" w:pos="567"/>
        </w:tabs>
        <w:autoSpaceDE w:val="0"/>
        <w:autoSpaceDN w:val="0"/>
        <w:adjustRightInd w:val="0"/>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val="es-ES" w:eastAsia="es-ES"/>
        </w:rPr>
        <w:t>Al efecto, es relevante señalar que en casos similares el Tribunal ha establecido que la impugnación presentada por el postor que fue adjudicado con el tercer lugar y que pretende la buena pro a la propuesta del que ocupó el primer lugar sin cuestionar la oferta del segundo, constituye causal de improcedencia debido a la ausencia de conexión lógica entre el petitorio y los hechos que lo sustentan</w:t>
      </w:r>
      <w:r w:rsidRPr="003825E3">
        <w:rPr>
          <w:rFonts w:ascii="Tahoma" w:eastAsia="Times New Roman" w:hAnsi="Tahoma" w:cs="Tahoma"/>
          <w:vertAlign w:val="superscript"/>
          <w:lang w:val="es-ES" w:eastAsia="es-ES"/>
        </w:rPr>
        <w:footnoteReference w:id="3"/>
      </w:r>
      <w:r w:rsidRPr="00151613">
        <w:rPr>
          <w:rFonts w:ascii="Tahoma" w:eastAsia="Times New Roman" w:hAnsi="Tahoma" w:cs="Tahoma"/>
          <w:lang w:val="es-ES" w:eastAsia="es-ES"/>
        </w:rPr>
        <w:t>.</w:t>
      </w:r>
    </w:p>
    <w:p w:rsidR="00151613" w:rsidRPr="00151613" w:rsidRDefault="00151613" w:rsidP="00151613">
      <w:pPr>
        <w:spacing w:after="0" w:line="240" w:lineRule="auto"/>
        <w:ind w:left="708"/>
        <w:rPr>
          <w:rFonts w:ascii="Tahoma" w:eastAsia="Times New Roman" w:hAnsi="Tahoma" w:cs="Tahoma"/>
          <w:lang w:val="es-ES" w:eastAsia="es-PE"/>
        </w:rPr>
      </w:pPr>
    </w:p>
    <w:p w:rsidR="00151613" w:rsidRPr="00151613" w:rsidRDefault="00151613" w:rsidP="00151613">
      <w:pPr>
        <w:numPr>
          <w:ilvl w:val="0"/>
          <w:numId w:val="12"/>
        </w:numPr>
        <w:tabs>
          <w:tab w:val="left" w:pos="567"/>
        </w:tabs>
        <w:autoSpaceDE w:val="0"/>
        <w:autoSpaceDN w:val="0"/>
        <w:adjustRightInd w:val="0"/>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val="es-ES" w:eastAsia="es-PE"/>
        </w:rPr>
        <w:t xml:space="preserve">Sobre lo anterior, debe señalarse que de la revisión de la jurisprudencia del Tribunal, por  Resolución Nº 1573/2008.TC-S4 del 04 de Junio del 2008, correspondiente al Expediente Nº </w:t>
      </w:r>
      <w:r w:rsidRPr="00151613">
        <w:rPr>
          <w:rFonts w:ascii="Tahoma" w:eastAsia="Times New Roman" w:hAnsi="Tahoma" w:cs="Tahoma"/>
          <w:lang w:val="es-ES" w:eastAsia="es-ES"/>
        </w:rPr>
        <w:t xml:space="preserve">1609/2008.TC, mediante la cual, </w:t>
      </w:r>
      <w:r w:rsidRPr="00151613">
        <w:rPr>
          <w:rFonts w:ascii="Tahoma" w:eastAsia="Times New Roman" w:hAnsi="Tahoma" w:cs="Tahoma"/>
          <w:lang w:val="es-ES" w:eastAsia="es-PE"/>
        </w:rPr>
        <w:t xml:space="preserve"> se declaró improcedente el recurso de apelación interpuesto por </w:t>
      </w:r>
      <w:r w:rsidRPr="00151613">
        <w:rPr>
          <w:rFonts w:ascii="Tahoma" w:eastAsia="Times New Roman" w:hAnsi="Tahoma" w:cs="Tahoma"/>
          <w:lang w:val="es-ES" w:eastAsia="es-ES"/>
        </w:rPr>
        <w:t>no existir conexión lógica entre el petitorio planteado en el recurso de apelación, y los fundamentos que lo sustentan</w:t>
      </w:r>
      <w:r w:rsidRPr="00151613">
        <w:rPr>
          <w:rFonts w:ascii="Tahoma" w:eastAsia="Times New Roman" w:hAnsi="Tahoma" w:cs="Tahoma"/>
          <w:lang w:val="es-ES" w:eastAsia="es-PE"/>
        </w:rPr>
        <w:t>, determinan lo siguiente:</w:t>
      </w:r>
    </w:p>
    <w:p w:rsidR="00151613" w:rsidRPr="00151613" w:rsidRDefault="00151613" w:rsidP="00151613">
      <w:pPr>
        <w:spacing w:after="0" w:line="240" w:lineRule="auto"/>
        <w:ind w:left="708"/>
        <w:rPr>
          <w:rFonts w:ascii="Tahoma" w:eastAsia="Times New Roman" w:hAnsi="Tahoma" w:cs="Tahoma"/>
          <w:lang w:val="es-ES" w:eastAsia="es-ES"/>
        </w:rPr>
      </w:pPr>
    </w:p>
    <w:p w:rsidR="00151613" w:rsidRPr="00151613" w:rsidRDefault="00151613" w:rsidP="00151613">
      <w:pPr>
        <w:spacing w:after="0" w:line="240" w:lineRule="auto"/>
        <w:ind w:left="851" w:hanging="284"/>
        <w:jc w:val="both"/>
        <w:rPr>
          <w:rFonts w:ascii="Tahoma" w:eastAsia="Times New Roman" w:hAnsi="Tahoma" w:cs="Tahoma"/>
          <w:lang w:val="es-ES" w:eastAsia="es-PE"/>
        </w:rPr>
      </w:pPr>
      <w:r w:rsidRPr="00151613">
        <w:rPr>
          <w:rFonts w:ascii="Tahoma" w:eastAsia="Times New Roman" w:hAnsi="Tahoma" w:cs="Tahoma"/>
          <w:lang w:val="es-ES" w:eastAsia="es-PE"/>
        </w:rPr>
        <w:lastRenderedPageBreak/>
        <w:t>“(…)</w:t>
      </w:r>
    </w:p>
    <w:p w:rsidR="00151613" w:rsidRPr="00151613" w:rsidRDefault="00151613" w:rsidP="00151613">
      <w:pPr>
        <w:numPr>
          <w:ilvl w:val="0"/>
          <w:numId w:val="15"/>
        </w:numPr>
        <w:tabs>
          <w:tab w:val="num" w:pos="5040"/>
        </w:tabs>
        <w:spacing w:after="0" w:line="240" w:lineRule="atLeast"/>
        <w:ind w:left="851" w:hanging="284"/>
        <w:jc w:val="both"/>
        <w:rPr>
          <w:rFonts w:ascii="Tahoma" w:eastAsia="Times New Roman" w:hAnsi="Tahoma" w:cs="Tahoma"/>
          <w:i/>
          <w:lang w:val="es-ES" w:eastAsia="es-ES"/>
        </w:rPr>
      </w:pPr>
      <w:r w:rsidRPr="00151613">
        <w:rPr>
          <w:rFonts w:ascii="Tahoma" w:eastAsia="Times New Roman" w:hAnsi="Tahoma" w:cs="Tahoma"/>
          <w:i/>
          <w:lang w:val="es-ES" w:eastAsia="es-ES"/>
        </w:rPr>
        <w:t xml:space="preserve">En el marco de lo indicado en el numeral precedente, cabe indicar que la pretensión del impugnante se sustenta en las objeciones a la evaluación y calificación del postor ganador de la buena pro. </w:t>
      </w:r>
    </w:p>
    <w:p w:rsidR="00151613" w:rsidRPr="00151613" w:rsidRDefault="00151613" w:rsidP="00151613">
      <w:pPr>
        <w:spacing w:after="0" w:line="240" w:lineRule="atLeast"/>
        <w:ind w:left="851" w:hanging="284"/>
        <w:rPr>
          <w:rFonts w:ascii="Tahoma" w:eastAsia="Times New Roman" w:hAnsi="Tahoma" w:cs="Tahoma"/>
          <w:i/>
          <w:lang w:val="es-ES" w:eastAsia="es-ES"/>
        </w:rPr>
      </w:pPr>
    </w:p>
    <w:p w:rsidR="00151613" w:rsidRPr="00151613" w:rsidRDefault="00151613" w:rsidP="00151613">
      <w:pPr>
        <w:numPr>
          <w:ilvl w:val="0"/>
          <w:numId w:val="15"/>
        </w:numPr>
        <w:spacing w:after="0" w:line="240" w:lineRule="atLeast"/>
        <w:ind w:left="851" w:hanging="284"/>
        <w:jc w:val="both"/>
        <w:rPr>
          <w:rFonts w:ascii="Tahoma" w:eastAsia="Times New Roman" w:hAnsi="Tahoma" w:cs="Tahoma"/>
          <w:i/>
          <w:lang w:val="es-ES" w:eastAsia="es-ES"/>
        </w:rPr>
      </w:pPr>
      <w:r w:rsidRPr="00151613">
        <w:rPr>
          <w:rFonts w:ascii="Tahoma" w:eastAsia="Times New Roman" w:hAnsi="Tahoma" w:cs="Tahoma"/>
          <w:i/>
          <w:lang w:val="es-ES" w:eastAsia="es-ES"/>
        </w:rPr>
        <w:t>Sin embargo, conforme a lo indicado, el recurrente no ha formulado observación alguna respecto de la propuesta del postor que ocupó el segundo lugar, cuya posición ha quedado administrativamente firme, de tal manera que, aún en el supuesto que este Colegiado decidiera validar los cuestionamientos realizados respecto de la oferta del postor ganador y procediera a descalificarla, el impugnante ocuparía el segundo lugar, de modo que el objetivo principal que persigue, es decir, el otorgamiento de la buena pro, le sería ajeno.</w:t>
      </w:r>
    </w:p>
    <w:p w:rsidR="00151613" w:rsidRPr="00151613" w:rsidRDefault="00151613" w:rsidP="00151613">
      <w:pPr>
        <w:spacing w:after="0" w:line="240" w:lineRule="atLeast"/>
        <w:ind w:left="851" w:hanging="284"/>
        <w:jc w:val="both"/>
        <w:rPr>
          <w:rFonts w:ascii="Tahoma" w:eastAsia="Times New Roman" w:hAnsi="Tahoma" w:cs="Tahoma"/>
          <w:i/>
          <w:lang w:val="es-ES" w:eastAsia="es-ES"/>
        </w:rPr>
      </w:pPr>
    </w:p>
    <w:p w:rsidR="00151613" w:rsidRPr="00151613" w:rsidRDefault="00151613" w:rsidP="00151613">
      <w:pPr>
        <w:numPr>
          <w:ilvl w:val="0"/>
          <w:numId w:val="15"/>
        </w:numPr>
        <w:tabs>
          <w:tab w:val="left" w:pos="851"/>
        </w:tabs>
        <w:spacing w:after="0" w:line="240" w:lineRule="atLeast"/>
        <w:ind w:left="851" w:hanging="284"/>
        <w:jc w:val="both"/>
        <w:rPr>
          <w:rFonts w:ascii="Tahoma" w:eastAsia="Times New Roman" w:hAnsi="Tahoma" w:cs="Tahoma"/>
          <w:i/>
          <w:lang w:val="es-ES" w:eastAsia="es-ES"/>
        </w:rPr>
      </w:pPr>
      <w:r w:rsidRPr="00151613">
        <w:rPr>
          <w:rFonts w:ascii="Tahoma" w:eastAsia="Times New Roman" w:hAnsi="Tahoma" w:cs="Tahoma"/>
          <w:i/>
          <w:lang w:val="es-ES" w:eastAsia="es-ES"/>
        </w:rPr>
        <w:t>Al efecto, es relevante señalar que en un caso similar el Tribunal ha establecido que la impugnación —por parte del postor que fue adjudicado con el tercer lugar y que pretende la buena pro— a la propuesta del que ocupó el primer lugar sin cuestionar la oferta del segundo, constituye causal de improcedencia debido a la ausencia de conexión lógica entre el petitorio y los hechos que lo sustentan.</w:t>
      </w:r>
    </w:p>
    <w:p w:rsidR="00151613" w:rsidRPr="00151613" w:rsidRDefault="00151613" w:rsidP="00151613">
      <w:pPr>
        <w:spacing w:after="0" w:line="240" w:lineRule="atLeast"/>
        <w:ind w:left="851" w:hanging="284"/>
        <w:rPr>
          <w:rFonts w:ascii="Tahoma" w:eastAsia="Times New Roman" w:hAnsi="Tahoma" w:cs="Tahoma"/>
          <w:i/>
          <w:lang w:val="es-ES" w:eastAsia="es-ES"/>
        </w:rPr>
      </w:pPr>
    </w:p>
    <w:p w:rsidR="00151613" w:rsidRPr="00151613" w:rsidRDefault="00151613" w:rsidP="00151613">
      <w:pPr>
        <w:numPr>
          <w:ilvl w:val="0"/>
          <w:numId w:val="15"/>
        </w:numPr>
        <w:tabs>
          <w:tab w:val="left" w:pos="851"/>
        </w:tabs>
        <w:spacing w:after="0" w:line="240" w:lineRule="atLeast"/>
        <w:ind w:left="851" w:hanging="284"/>
        <w:jc w:val="both"/>
        <w:rPr>
          <w:rFonts w:ascii="Tahoma" w:eastAsia="Times New Roman" w:hAnsi="Tahoma" w:cs="Tahoma"/>
          <w:i/>
          <w:lang w:val="es-ES" w:eastAsia="es-ES"/>
        </w:rPr>
      </w:pPr>
      <w:r w:rsidRPr="00151613">
        <w:rPr>
          <w:rFonts w:ascii="Tahoma" w:eastAsia="Times New Roman" w:hAnsi="Tahoma" w:cs="Tahoma"/>
          <w:i/>
          <w:lang w:val="es-ES" w:eastAsia="es-ES"/>
        </w:rPr>
        <w:t>Sobre lo antes expuesto, se concluye que no existe conexión lógica entre el petitorio planteado en el recurso de apelación, adjudicación de la buena pro, y los fundamentos que lo sustentan, los que únicamente buscan la descalificación o disminución de puntaje en la propuesta del postor ganador, situación insuficiente si se tiene en cuenta que la oferta del postor que quedó en segundo lugar ha quedado firme al no haber sido impugnada dentro del plazo legal, por lo que el petitorio del impugnante que ostenta el tercer lugar de ningún modo podría ocupar el primer lugar.</w:t>
      </w:r>
    </w:p>
    <w:p w:rsidR="00151613" w:rsidRPr="00151613" w:rsidRDefault="00151613" w:rsidP="00151613">
      <w:pPr>
        <w:tabs>
          <w:tab w:val="num" w:pos="5040"/>
        </w:tabs>
        <w:spacing w:after="0" w:line="240" w:lineRule="atLeast"/>
        <w:ind w:left="851" w:hanging="284"/>
        <w:jc w:val="both"/>
        <w:rPr>
          <w:rFonts w:ascii="Tahoma" w:eastAsia="Times New Roman" w:hAnsi="Tahoma" w:cs="Tahoma"/>
          <w:i/>
          <w:lang w:val="es-ES" w:eastAsia="es-ES"/>
        </w:rPr>
      </w:pPr>
    </w:p>
    <w:p w:rsidR="00151613" w:rsidRPr="00151613" w:rsidRDefault="00151613" w:rsidP="00151613">
      <w:pPr>
        <w:numPr>
          <w:ilvl w:val="0"/>
          <w:numId w:val="15"/>
        </w:numPr>
        <w:tabs>
          <w:tab w:val="num" w:pos="5040"/>
        </w:tabs>
        <w:spacing w:after="0" w:line="240" w:lineRule="atLeast"/>
        <w:ind w:left="851" w:hanging="284"/>
        <w:jc w:val="both"/>
        <w:rPr>
          <w:rFonts w:ascii="Tahoma" w:eastAsia="Times New Roman" w:hAnsi="Tahoma" w:cs="Tahoma"/>
          <w:lang w:val="es-ES" w:eastAsia="es-ES"/>
        </w:rPr>
      </w:pPr>
      <w:r w:rsidRPr="00151613">
        <w:rPr>
          <w:rFonts w:ascii="Tahoma" w:eastAsia="Times New Roman" w:hAnsi="Tahoma" w:cs="Tahoma"/>
          <w:i/>
          <w:lang w:val="es-ES" w:eastAsia="es-ES"/>
        </w:rPr>
        <w:t xml:space="preserve">En virtud al análisis efectuado, al haberse verificado el supuesto establecido en el numeral 8 del artículo 157 del RLCAE, de conformidad con lo establecido en el numeral 5 del artículo 163 del mismo cuerpo reglamentario, el recurso de apelación interpuesto por el postor ASCENSORES </w:t>
      </w:r>
      <w:r w:rsidRPr="00151613">
        <w:rPr>
          <w:rFonts w:ascii="Tahoma" w:eastAsia="Times New Roman" w:hAnsi="Tahoma" w:cs="Tahoma"/>
          <w:b/>
          <w:i/>
          <w:u w:val="single"/>
          <w:lang w:val="es-ES" w:eastAsia="es-ES"/>
        </w:rPr>
        <w:t>debe ser declarado improcedente</w:t>
      </w:r>
      <w:r w:rsidRPr="00151613">
        <w:rPr>
          <w:rFonts w:ascii="Tahoma" w:eastAsia="Times New Roman" w:hAnsi="Tahoma" w:cs="Tahoma"/>
          <w:lang w:val="es-ES" w:eastAsia="es-ES"/>
        </w:rPr>
        <w:t>. (…)”(el resaltado es nuestro)</w:t>
      </w:r>
    </w:p>
    <w:p w:rsidR="00151613" w:rsidRPr="00151613" w:rsidRDefault="00151613" w:rsidP="00151613">
      <w:pPr>
        <w:spacing w:after="0" w:line="240" w:lineRule="auto"/>
        <w:ind w:left="708"/>
        <w:rPr>
          <w:rFonts w:ascii="Tahoma" w:eastAsia="Times New Roman" w:hAnsi="Tahoma" w:cs="Tahoma"/>
          <w:lang w:val="es-ES" w:eastAsia="es-ES"/>
        </w:rPr>
      </w:pPr>
    </w:p>
    <w:p w:rsidR="00151613" w:rsidRPr="00151613" w:rsidRDefault="00151613" w:rsidP="00151613">
      <w:pPr>
        <w:spacing w:after="0" w:line="240" w:lineRule="auto"/>
        <w:ind w:left="708"/>
        <w:rPr>
          <w:rFonts w:ascii="Tahoma" w:eastAsia="Times New Roman" w:hAnsi="Tahoma" w:cs="Tahoma"/>
          <w:lang w:val="es-ES" w:eastAsia="es-ES"/>
        </w:rPr>
      </w:pPr>
    </w:p>
    <w:p w:rsidR="00151613" w:rsidRPr="00151613" w:rsidRDefault="00151613" w:rsidP="00151613">
      <w:pPr>
        <w:numPr>
          <w:ilvl w:val="0"/>
          <w:numId w:val="12"/>
        </w:numPr>
        <w:tabs>
          <w:tab w:val="left" w:pos="567"/>
        </w:tabs>
        <w:autoSpaceDE w:val="0"/>
        <w:autoSpaceDN w:val="0"/>
        <w:adjustRightInd w:val="0"/>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val="es-ES" w:eastAsia="es-ES"/>
        </w:rPr>
        <w:t xml:space="preserve">En este sentido, siguiendo lo dispuesto en la Resolución Nº 1573/2008.TC-S4, en el recurso de recurso de apelación, y analizadas las mismas circunstancias en el presente caso, este Colegiado ha resuelto seguir el sentido de la Resolución antes </w:t>
      </w:r>
      <w:r w:rsidRPr="00151613">
        <w:rPr>
          <w:rFonts w:ascii="Tahoma" w:eastAsia="Times New Roman" w:hAnsi="Tahoma" w:cs="Tahoma"/>
          <w:lang w:val="es-ES" w:eastAsia="es-ES"/>
        </w:rPr>
        <w:lastRenderedPageBreak/>
        <w:t>comentada, de conformidad con lo establecido en el numeral 4 del artículo 114 del mismo cuerpo reglamentario, por lo tanto; el recurso de apelación interpuesto por EL IMPUGNANTE debe ser declarado improcedente.</w:t>
      </w:r>
    </w:p>
    <w:p w:rsidR="00151613" w:rsidRPr="00151613" w:rsidRDefault="00151613" w:rsidP="00151613">
      <w:pPr>
        <w:tabs>
          <w:tab w:val="left" w:pos="567"/>
        </w:tabs>
        <w:autoSpaceDE w:val="0"/>
        <w:autoSpaceDN w:val="0"/>
        <w:adjustRightInd w:val="0"/>
        <w:spacing w:after="0" w:line="240" w:lineRule="auto"/>
        <w:ind w:left="567"/>
        <w:jc w:val="both"/>
        <w:rPr>
          <w:rFonts w:ascii="Tahoma" w:eastAsia="Times New Roman" w:hAnsi="Tahoma" w:cs="Tahoma"/>
          <w:lang w:val="es-ES" w:eastAsia="es-ES"/>
        </w:rPr>
      </w:pPr>
    </w:p>
    <w:p w:rsidR="00151613" w:rsidRPr="00151613" w:rsidRDefault="00151613" w:rsidP="00151613">
      <w:pPr>
        <w:numPr>
          <w:ilvl w:val="0"/>
          <w:numId w:val="12"/>
        </w:numPr>
        <w:tabs>
          <w:tab w:val="left" w:pos="567"/>
        </w:tabs>
        <w:autoSpaceDE w:val="0"/>
        <w:autoSpaceDN w:val="0"/>
        <w:adjustRightInd w:val="0"/>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val="es-ES" w:eastAsia="es-ES"/>
        </w:rPr>
        <w:t>Dentro de este contexto, al haberse declarado improcedente el recurso interpuesto, este Colegiado no se encuentra legitimado para emitir pronunciamiento respecto a los argumentos vertidos en dicho recurso de apelación; sin perjuicio de ello, se solicita a la Entidad realice la fiscalización posterior, respecto al cumplimiento de todos los requerimientos técnicos mínimos así como a las especificaciones técnicas de la propuesta presentada por el postor adjudicatario del Ítem Nº 40  de la Licitación Pública Nº 011-2010/ESSALUD/GCL</w:t>
      </w:r>
      <w:r w:rsidRPr="00151613">
        <w:rPr>
          <w:rFonts w:ascii="Tahoma" w:eastAsia="MS Mincho" w:hAnsi="Tahoma" w:cs="Tahoma"/>
          <w:lang w:val="es-ES" w:eastAsia="es-ES"/>
        </w:rPr>
        <w:t xml:space="preserve"> (Primera Convocatoria).</w:t>
      </w:r>
    </w:p>
    <w:p w:rsidR="005C0C69" w:rsidRPr="003825E3" w:rsidRDefault="005C0C69" w:rsidP="005C0C69">
      <w:pPr>
        <w:spacing w:after="0" w:line="240" w:lineRule="auto"/>
        <w:ind w:firstLine="708"/>
        <w:rPr>
          <w:rFonts w:ascii="Tahoma" w:eastAsia="Times New Roman" w:hAnsi="Tahoma" w:cs="Tahoma"/>
          <w:b/>
          <w:lang w:val="es-ES" w:eastAsia="es-ES"/>
        </w:rPr>
      </w:pPr>
    </w:p>
    <w:p w:rsidR="00151613" w:rsidRPr="003825E3" w:rsidRDefault="00151613" w:rsidP="00151613">
      <w:pPr>
        <w:ind w:left="720"/>
        <w:contextualSpacing/>
        <w:rPr>
          <w:rFonts w:ascii="Tahoma" w:eastAsia="Times New Roman" w:hAnsi="Tahoma" w:cs="Tahoma"/>
          <w:lang w:val="es-ES" w:eastAsia="es-ES"/>
        </w:rPr>
      </w:pPr>
    </w:p>
    <w:p w:rsidR="00151613" w:rsidRPr="003825E3" w:rsidRDefault="00151613" w:rsidP="00151613">
      <w:pPr>
        <w:tabs>
          <w:tab w:val="left" w:pos="180"/>
        </w:tabs>
        <w:spacing w:after="0" w:line="240" w:lineRule="auto"/>
        <w:ind w:left="180" w:firstLine="540"/>
        <w:jc w:val="both"/>
        <w:rPr>
          <w:rFonts w:ascii="Tahoma" w:hAnsi="Tahoma" w:cs="Tahoma"/>
          <w:color w:val="000000"/>
          <w:lang w:val="es-ES" w:eastAsia="es-ES"/>
        </w:rPr>
      </w:pPr>
      <w:r w:rsidRPr="003825E3">
        <w:rPr>
          <w:rFonts w:ascii="Tahoma" w:hAnsi="Tahoma" w:cs="Tahoma"/>
          <w:color w:val="000000"/>
        </w:rPr>
        <w:t>Por estos fundamentos, de conformidad con el informe de la Vocal Ponente Dra. Dammar Salazar Díaz,  y la intervención de las Vocales Dra. Ada Basulto Liewald y Dra. Wina Isasi Berrospi, atendiendo a la reconformación de la Primera Sala del Tribunal de Contrataciones del Estado, según lo dispuesto en la Resolución Nº 574-2011-OSCE/PRE de fecha 02 de setiembre de 2011; en ejercicio de las facultades conferidas en el artículo 63º de la Ley de Contrataciones del Estado, aprobado por Decreto Legislativo Nº 1017, y su segunda disposición complementaria transitoria, así como los artículos 17º y 18º del Reglamento de Organización y Funciones del OSCE, aprobado por Decreto Supremo Nº 006-2009-EF; analizados los antecedentes y luego de agotado el debate correspondiente, por unanimidad</w:t>
      </w:r>
      <w:r w:rsidRPr="003825E3">
        <w:rPr>
          <w:rFonts w:ascii="Tahoma" w:hAnsi="Tahoma" w:cs="Tahoma"/>
          <w:color w:val="000000"/>
          <w:lang w:val="es-ES" w:eastAsia="es-ES"/>
        </w:rPr>
        <w:t>.</w:t>
      </w:r>
    </w:p>
    <w:p w:rsidR="005C0C69" w:rsidRPr="003825E3" w:rsidRDefault="005C0C69" w:rsidP="005C0C69">
      <w:pPr>
        <w:spacing w:after="0" w:line="240" w:lineRule="auto"/>
        <w:rPr>
          <w:rFonts w:ascii="Tahoma" w:hAnsi="Tahoma" w:cs="Tahoma"/>
          <w:color w:val="000000"/>
          <w:lang w:val="es-ES" w:eastAsia="es-ES"/>
        </w:rPr>
      </w:pPr>
    </w:p>
    <w:p w:rsidR="005C0C69" w:rsidRPr="003825E3" w:rsidRDefault="005C0C69" w:rsidP="005C0C69">
      <w:pPr>
        <w:spacing w:after="0" w:line="240" w:lineRule="auto"/>
        <w:ind w:firstLine="708"/>
        <w:jc w:val="both"/>
        <w:rPr>
          <w:rFonts w:ascii="Tahoma" w:eastAsia="Times New Roman" w:hAnsi="Tahoma" w:cs="Tahoma"/>
          <w:b/>
          <w:lang w:val="es-ES" w:eastAsia="es-ES"/>
        </w:rPr>
      </w:pPr>
    </w:p>
    <w:p w:rsidR="005C0C69" w:rsidRPr="003825E3" w:rsidRDefault="005C0C69" w:rsidP="005C0C69">
      <w:pPr>
        <w:spacing w:after="0" w:line="240" w:lineRule="auto"/>
        <w:ind w:firstLine="708"/>
        <w:jc w:val="both"/>
        <w:rPr>
          <w:rFonts w:ascii="Tahoma" w:eastAsia="Times New Roman" w:hAnsi="Tahoma" w:cs="Tahoma"/>
          <w:b/>
          <w:lang w:val="es-ES" w:eastAsia="es-ES"/>
        </w:rPr>
      </w:pPr>
      <w:r w:rsidRPr="003825E3">
        <w:rPr>
          <w:rFonts w:ascii="Tahoma" w:eastAsia="Times New Roman" w:hAnsi="Tahoma" w:cs="Tahoma"/>
          <w:b/>
          <w:lang w:val="es-ES" w:eastAsia="es-ES"/>
        </w:rPr>
        <w:t xml:space="preserve">LA SALA RESUELVE: </w:t>
      </w:r>
    </w:p>
    <w:p w:rsidR="005C0C69" w:rsidRPr="003825E3" w:rsidRDefault="005C0C69" w:rsidP="005C0C69">
      <w:pPr>
        <w:spacing w:after="0" w:line="240" w:lineRule="auto"/>
        <w:ind w:firstLine="708"/>
        <w:jc w:val="both"/>
        <w:rPr>
          <w:rFonts w:ascii="Tahoma" w:eastAsia="Times New Roman" w:hAnsi="Tahoma" w:cs="Tahoma"/>
          <w:b/>
          <w:lang w:val="es-ES" w:eastAsia="es-ES"/>
        </w:rPr>
      </w:pPr>
    </w:p>
    <w:p w:rsidR="00151613" w:rsidRPr="00151613" w:rsidRDefault="00151613" w:rsidP="00151613">
      <w:pPr>
        <w:numPr>
          <w:ilvl w:val="0"/>
          <w:numId w:val="16"/>
        </w:numPr>
        <w:tabs>
          <w:tab w:val="clear" w:pos="360"/>
          <w:tab w:val="left" w:pos="567"/>
        </w:tabs>
        <w:spacing w:after="0" w:line="240" w:lineRule="auto"/>
        <w:ind w:left="567" w:hanging="567"/>
        <w:jc w:val="both"/>
        <w:rPr>
          <w:rFonts w:ascii="Tahoma" w:eastAsia="Times New Roman" w:hAnsi="Tahoma" w:cs="Tahoma"/>
          <w:lang w:eastAsia="es-ES"/>
        </w:rPr>
      </w:pPr>
      <w:r w:rsidRPr="00151613">
        <w:rPr>
          <w:rFonts w:ascii="Tahoma" w:eastAsia="Times New Roman" w:hAnsi="Tahoma" w:cs="Tahoma"/>
          <w:lang w:eastAsia="es-ES"/>
        </w:rPr>
        <w:t xml:space="preserve">Declarar improcedente el recurso de apelación interpuesto por </w:t>
      </w:r>
      <w:r w:rsidRPr="00151613">
        <w:rPr>
          <w:rFonts w:ascii="Tahoma" w:eastAsia="Times New Roman" w:hAnsi="Tahoma" w:cs="Tahoma"/>
          <w:lang w:val="es-ES" w:eastAsia="es-ES"/>
        </w:rPr>
        <w:t>la empresa NORDIC PHARMACEUTICAL COMPANY S.A.C., contra el otorgamiento de la buena pro, respecto del Ítem Nº 40 de la Licitación Pública Nº 011-2010/ESSALUD/GCL</w:t>
      </w:r>
      <w:r w:rsidRPr="00151613">
        <w:rPr>
          <w:rFonts w:ascii="Tahoma" w:eastAsia="MS Mincho" w:hAnsi="Tahoma" w:cs="Tahoma"/>
          <w:lang w:val="es-ES" w:eastAsia="es-ES"/>
        </w:rPr>
        <w:t xml:space="preserve"> (Primera Convocatoria), </w:t>
      </w:r>
      <w:r w:rsidRPr="00151613">
        <w:rPr>
          <w:rFonts w:ascii="Tahoma" w:eastAsia="Times New Roman" w:hAnsi="Tahoma" w:cs="Tahoma"/>
          <w:lang w:val="es-ES" w:eastAsia="es-ES"/>
        </w:rPr>
        <w:t xml:space="preserve">a favor del postor </w:t>
      </w:r>
      <w:r w:rsidRPr="00151613">
        <w:rPr>
          <w:rFonts w:ascii="Tahoma" w:eastAsia="Times New Roman" w:hAnsi="Tahoma" w:cs="Tahoma"/>
          <w:color w:val="000000"/>
          <w:lang w:val="es-ES" w:eastAsia="es-ES"/>
        </w:rPr>
        <w:t>ALBIS S.A</w:t>
      </w:r>
      <w:r w:rsidRPr="00151613">
        <w:rPr>
          <w:rFonts w:ascii="Tahoma" w:eastAsia="Times New Roman" w:hAnsi="Tahoma" w:cs="Tahoma"/>
          <w:lang w:val="es-ES" w:eastAsia="es-ES"/>
        </w:rPr>
        <w:t>.</w:t>
      </w:r>
      <w:r w:rsidRPr="00151613">
        <w:rPr>
          <w:rFonts w:ascii="Tahoma" w:eastAsia="Times New Roman" w:hAnsi="Tahoma" w:cs="Tahoma"/>
          <w:lang w:eastAsia="es-ES"/>
        </w:rPr>
        <w:t>, por los fundamentos expuestos.</w:t>
      </w:r>
    </w:p>
    <w:p w:rsidR="00151613" w:rsidRPr="00151613" w:rsidRDefault="00151613" w:rsidP="00151613">
      <w:pPr>
        <w:tabs>
          <w:tab w:val="left" w:pos="567"/>
        </w:tabs>
        <w:spacing w:after="0" w:line="240" w:lineRule="auto"/>
        <w:ind w:left="567" w:hanging="567"/>
        <w:jc w:val="both"/>
        <w:rPr>
          <w:rFonts w:ascii="Tahoma" w:eastAsia="Times New Roman" w:hAnsi="Tahoma" w:cs="Tahoma"/>
          <w:lang w:eastAsia="es-ES"/>
        </w:rPr>
      </w:pPr>
    </w:p>
    <w:p w:rsidR="00151613" w:rsidRPr="00151613" w:rsidRDefault="00151613" w:rsidP="00151613">
      <w:pPr>
        <w:numPr>
          <w:ilvl w:val="0"/>
          <w:numId w:val="16"/>
        </w:numPr>
        <w:tabs>
          <w:tab w:val="clear" w:pos="360"/>
          <w:tab w:val="left" w:pos="567"/>
        </w:tabs>
        <w:spacing w:after="0" w:line="240" w:lineRule="auto"/>
        <w:ind w:left="567" w:hanging="567"/>
        <w:jc w:val="both"/>
        <w:rPr>
          <w:rFonts w:ascii="Tahoma" w:eastAsia="Times New Roman" w:hAnsi="Tahoma" w:cs="Tahoma"/>
          <w:b/>
          <w:lang w:eastAsia="es-ES"/>
        </w:rPr>
      </w:pPr>
      <w:r w:rsidRPr="00151613">
        <w:rPr>
          <w:rFonts w:ascii="Tahoma" w:eastAsia="Times New Roman" w:hAnsi="Tahoma" w:cs="Tahoma"/>
          <w:lang w:eastAsia="es-ES"/>
        </w:rPr>
        <w:t>Ejecutar la garantía otorgada por el impugnante</w:t>
      </w:r>
      <w:r w:rsidRPr="00151613">
        <w:rPr>
          <w:rFonts w:ascii="Tahoma" w:eastAsia="Times New Roman" w:hAnsi="Tahoma" w:cs="Tahoma"/>
          <w:bCs/>
          <w:lang w:val="es-ES" w:eastAsia="es-ES"/>
        </w:rPr>
        <w:t xml:space="preserve"> </w:t>
      </w:r>
      <w:r w:rsidRPr="00151613">
        <w:rPr>
          <w:rFonts w:ascii="Tahoma" w:eastAsia="Times New Roman" w:hAnsi="Tahoma" w:cs="Tahoma"/>
          <w:lang w:eastAsia="es-ES"/>
        </w:rPr>
        <w:t>para la tramitación del recurso de apelación.</w:t>
      </w:r>
    </w:p>
    <w:p w:rsidR="00151613" w:rsidRPr="00151613" w:rsidRDefault="00151613" w:rsidP="00151613">
      <w:pPr>
        <w:tabs>
          <w:tab w:val="left" w:pos="567"/>
        </w:tabs>
        <w:spacing w:after="0" w:line="240" w:lineRule="auto"/>
        <w:ind w:left="567" w:hanging="567"/>
        <w:rPr>
          <w:rFonts w:ascii="Tahoma" w:eastAsia="Times New Roman" w:hAnsi="Tahoma" w:cs="Tahoma"/>
          <w:b/>
          <w:lang w:eastAsia="es-ES"/>
        </w:rPr>
      </w:pPr>
    </w:p>
    <w:p w:rsidR="00151613" w:rsidRPr="00151613" w:rsidRDefault="00151613" w:rsidP="00151613">
      <w:pPr>
        <w:numPr>
          <w:ilvl w:val="0"/>
          <w:numId w:val="16"/>
        </w:numPr>
        <w:tabs>
          <w:tab w:val="clear" w:pos="360"/>
          <w:tab w:val="left" w:pos="567"/>
        </w:tabs>
        <w:spacing w:after="0" w:line="240" w:lineRule="auto"/>
        <w:ind w:left="567" w:hanging="567"/>
        <w:jc w:val="both"/>
        <w:rPr>
          <w:rFonts w:ascii="Tahoma" w:eastAsia="Times New Roman" w:hAnsi="Tahoma" w:cs="Tahoma"/>
          <w:lang w:val="es-ES" w:eastAsia="es-ES"/>
        </w:rPr>
      </w:pPr>
      <w:r w:rsidRPr="00151613">
        <w:rPr>
          <w:rFonts w:ascii="Tahoma" w:eastAsia="Times New Roman" w:hAnsi="Tahoma" w:cs="Tahoma"/>
          <w:lang w:val="es-ES" w:eastAsia="es-ES"/>
        </w:rPr>
        <w:t>Disponer que la Entidad bajo responsabilidad, previa a la suscripción del contrato, realice la fiscalización posterior a la que se refiere  el numeral  17) de la fundamentación, debiendo remitir las conclusiones de dicha fiscalización.</w:t>
      </w:r>
    </w:p>
    <w:p w:rsidR="00151613" w:rsidRPr="00151613" w:rsidRDefault="00151613" w:rsidP="00151613">
      <w:pPr>
        <w:tabs>
          <w:tab w:val="left" w:pos="567"/>
        </w:tabs>
        <w:spacing w:after="0" w:line="240" w:lineRule="auto"/>
        <w:ind w:left="567" w:hanging="567"/>
        <w:rPr>
          <w:rFonts w:ascii="Tahoma" w:eastAsia="Times New Roman" w:hAnsi="Tahoma" w:cs="Tahoma"/>
          <w:lang w:val="es-ES" w:eastAsia="es-PE"/>
        </w:rPr>
      </w:pPr>
    </w:p>
    <w:p w:rsidR="00151613" w:rsidRPr="00151613" w:rsidRDefault="00151613" w:rsidP="00151613">
      <w:pPr>
        <w:numPr>
          <w:ilvl w:val="0"/>
          <w:numId w:val="16"/>
        </w:numPr>
        <w:tabs>
          <w:tab w:val="clear" w:pos="360"/>
          <w:tab w:val="left" w:pos="567"/>
        </w:tabs>
        <w:spacing w:after="0" w:line="240" w:lineRule="auto"/>
        <w:ind w:left="567" w:hanging="567"/>
        <w:jc w:val="both"/>
        <w:rPr>
          <w:rFonts w:ascii="Tahoma" w:eastAsia="Times New Roman" w:hAnsi="Tahoma" w:cs="Tahoma"/>
          <w:b/>
          <w:lang w:eastAsia="es-ES"/>
        </w:rPr>
      </w:pPr>
      <w:r w:rsidRPr="00151613">
        <w:rPr>
          <w:rFonts w:ascii="Tahoma" w:eastAsia="Times New Roman" w:hAnsi="Tahoma" w:cs="Tahoma"/>
          <w:lang w:val="es-ES" w:eastAsia="es-ES"/>
        </w:rPr>
        <w:lastRenderedPageBreak/>
        <w:t>Disponer la devolución de los antecedentes administrativos a la Entidad, la cual deberá recabarlos en la mesa de partes del Tribunal dentro del plazo de 30 días calendario de emitida la presente resolución; debiendo autorizar por escrito a la persona que realizará dicha diligencia. En caso contrario, los antecedentes administrativos serán enviados al Archivo Central de OSCE para su custodia por un plazo de seis (6) meses, luego del cual serán remitidos al Archivo General de la Nación, bajo responsabilidad.</w:t>
      </w:r>
    </w:p>
    <w:p w:rsidR="00151613" w:rsidRPr="00151613" w:rsidRDefault="00151613" w:rsidP="00151613">
      <w:pPr>
        <w:tabs>
          <w:tab w:val="left" w:pos="567"/>
        </w:tabs>
        <w:spacing w:after="0" w:line="240" w:lineRule="auto"/>
        <w:ind w:left="567" w:hanging="567"/>
        <w:rPr>
          <w:rFonts w:ascii="Tahoma" w:eastAsia="Times New Roman" w:hAnsi="Tahoma" w:cs="Tahoma"/>
          <w:lang w:eastAsia="es-PE"/>
        </w:rPr>
      </w:pPr>
    </w:p>
    <w:p w:rsidR="00151613" w:rsidRPr="00151613" w:rsidRDefault="00151613" w:rsidP="00151613">
      <w:pPr>
        <w:numPr>
          <w:ilvl w:val="0"/>
          <w:numId w:val="16"/>
        </w:numPr>
        <w:tabs>
          <w:tab w:val="clear" w:pos="360"/>
          <w:tab w:val="left" w:pos="567"/>
        </w:tabs>
        <w:spacing w:after="0" w:line="240" w:lineRule="auto"/>
        <w:ind w:left="567" w:hanging="567"/>
        <w:jc w:val="both"/>
        <w:rPr>
          <w:rFonts w:ascii="Tahoma" w:eastAsia="Times New Roman" w:hAnsi="Tahoma" w:cs="Tahoma"/>
          <w:b/>
          <w:lang w:eastAsia="es-ES"/>
        </w:rPr>
      </w:pPr>
      <w:r w:rsidRPr="00151613">
        <w:rPr>
          <w:rFonts w:ascii="Tahoma" w:eastAsia="Times New Roman" w:hAnsi="Tahoma" w:cs="Tahoma"/>
          <w:lang w:eastAsia="es-ES"/>
        </w:rPr>
        <w:t>Dar por agotada la vía administrativa</w:t>
      </w:r>
    </w:p>
    <w:p w:rsidR="005C0C69" w:rsidRPr="003825E3" w:rsidRDefault="005C0C69" w:rsidP="005C0C69">
      <w:pPr>
        <w:tabs>
          <w:tab w:val="num" w:pos="540"/>
        </w:tabs>
        <w:spacing w:after="0" w:line="240" w:lineRule="auto"/>
        <w:ind w:right="-1"/>
        <w:jc w:val="both"/>
        <w:rPr>
          <w:rFonts w:ascii="Tahoma" w:eastAsia="Times New Roman" w:hAnsi="Tahoma" w:cs="Tahoma"/>
          <w:lang w:val="es-ES" w:eastAsia="es-ES"/>
        </w:rPr>
      </w:pPr>
    </w:p>
    <w:p w:rsidR="005C0C69" w:rsidRPr="003825E3" w:rsidRDefault="005C0C69" w:rsidP="005C0C69">
      <w:pPr>
        <w:spacing w:after="0" w:line="240" w:lineRule="auto"/>
        <w:ind w:firstLine="567"/>
        <w:jc w:val="both"/>
        <w:rPr>
          <w:rFonts w:ascii="Tahoma" w:eastAsia="Times New Roman" w:hAnsi="Tahoma" w:cs="Tahoma"/>
          <w:lang w:val="es-ES" w:eastAsia="es-ES"/>
        </w:rPr>
      </w:pPr>
      <w:r w:rsidRPr="003825E3">
        <w:rPr>
          <w:rFonts w:ascii="Tahoma" w:eastAsia="Times New Roman" w:hAnsi="Tahoma" w:cs="Tahoma"/>
          <w:lang w:val="es-ES" w:eastAsia="es-ES"/>
        </w:rPr>
        <w:t>Regístrese, comuníquese y publíquese.</w:t>
      </w:r>
    </w:p>
    <w:p w:rsidR="005C0C69" w:rsidRPr="00EE792B" w:rsidRDefault="005C0C69" w:rsidP="005C0C69">
      <w:pPr>
        <w:spacing w:after="0" w:line="240" w:lineRule="auto"/>
        <w:rPr>
          <w:rFonts w:ascii="Tahoma" w:eastAsia="Times New Roman" w:hAnsi="Tahoma" w:cs="Tahoma"/>
          <w:sz w:val="21"/>
          <w:szCs w:val="21"/>
          <w:lang w:val="es-ES" w:eastAsia="es-ES"/>
        </w:rPr>
      </w:pPr>
    </w:p>
    <w:p w:rsidR="005C0C69" w:rsidRPr="00EE792B" w:rsidRDefault="005C0C69" w:rsidP="005C0C69">
      <w:pPr>
        <w:spacing w:after="0" w:line="240" w:lineRule="auto"/>
        <w:rPr>
          <w:rFonts w:ascii="Tahoma" w:eastAsia="Times New Roman" w:hAnsi="Tahoma" w:cs="Tahoma"/>
          <w:sz w:val="21"/>
          <w:szCs w:val="21"/>
          <w:lang w:val="es-ES" w:eastAsia="es-ES"/>
        </w:rPr>
      </w:pPr>
    </w:p>
    <w:p w:rsidR="005C0C69" w:rsidRPr="00EE792B" w:rsidRDefault="005C0C69" w:rsidP="005C0C69">
      <w:pPr>
        <w:spacing w:after="0" w:line="240" w:lineRule="auto"/>
        <w:rPr>
          <w:rFonts w:ascii="Tahoma" w:eastAsia="Times New Roman" w:hAnsi="Tahoma" w:cs="Tahoma"/>
          <w:sz w:val="21"/>
          <w:szCs w:val="21"/>
          <w:lang w:val="es-ES" w:eastAsia="es-ES"/>
        </w:rPr>
      </w:pPr>
    </w:p>
    <w:p w:rsidR="005C0C69" w:rsidRPr="00EE792B" w:rsidRDefault="005C0C69" w:rsidP="005C0C69">
      <w:pPr>
        <w:spacing w:after="0" w:line="240" w:lineRule="auto"/>
        <w:rPr>
          <w:rFonts w:ascii="Tahoma" w:eastAsia="Times New Roman" w:hAnsi="Tahoma" w:cs="Tahoma"/>
          <w:sz w:val="21"/>
          <w:szCs w:val="21"/>
          <w:lang w:val="es-ES" w:eastAsia="es-ES"/>
        </w:rPr>
      </w:pPr>
    </w:p>
    <w:p w:rsidR="005C0C69" w:rsidRPr="00EE792B" w:rsidRDefault="005C0C69" w:rsidP="005C0C69">
      <w:pPr>
        <w:spacing w:after="0" w:line="240" w:lineRule="auto"/>
        <w:jc w:val="center"/>
        <w:rPr>
          <w:rFonts w:ascii="Tahoma" w:eastAsia="Times New Roman" w:hAnsi="Tahoma" w:cs="Tahoma"/>
          <w:b/>
          <w:sz w:val="21"/>
          <w:szCs w:val="21"/>
          <w:lang w:val="es-ES" w:eastAsia="es-ES"/>
        </w:rPr>
      </w:pPr>
      <w:r w:rsidRPr="00EE792B">
        <w:rPr>
          <w:rFonts w:ascii="Tahoma" w:eastAsia="Times New Roman" w:hAnsi="Tahoma" w:cs="Tahoma"/>
          <w:b/>
          <w:sz w:val="21"/>
          <w:szCs w:val="21"/>
          <w:lang w:val="es-ES" w:eastAsia="es-ES"/>
        </w:rPr>
        <w:t>PRESIDENT</w:t>
      </w:r>
      <w:r>
        <w:rPr>
          <w:rFonts w:ascii="Tahoma" w:eastAsia="Times New Roman" w:hAnsi="Tahoma" w:cs="Tahoma"/>
          <w:b/>
          <w:sz w:val="21"/>
          <w:szCs w:val="21"/>
          <w:lang w:val="es-ES" w:eastAsia="es-ES"/>
        </w:rPr>
        <w:t>A</w:t>
      </w:r>
    </w:p>
    <w:p w:rsidR="005C0C69" w:rsidRPr="00EE792B" w:rsidRDefault="005C0C69" w:rsidP="005C0C69">
      <w:pPr>
        <w:spacing w:after="0" w:line="240" w:lineRule="auto"/>
        <w:rPr>
          <w:rFonts w:ascii="Tahoma" w:eastAsia="Times New Roman" w:hAnsi="Tahoma" w:cs="Tahoma"/>
          <w:b/>
          <w:sz w:val="21"/>
          <w:szCs w:val="21"/>
          <w:lang w:val="es-ES" w:eastAsia="es-ES"/>
        </w:rPr>
      </w:pPr>
      <w:r w:rsidRPr="00EE792B">
        <w:rPr>
          <w:rFonts w:ascii="Tahoma" w:eastAsia="Times New Roman" w:hAnsi="Tahoma" w:cs="Tahoma"/>
          <w:b/>
          <w:sz w:val="21"/>
          <w:szCs w:val="21"/>
          <w:lang w:val="es-ES" w:eastAsia="es-ES"/>
        </w:rPr>
        <w:t xml:space="preserve">               </w:t>
      </w:r>
    </w:p>
    <w:p w:rsidR="005C0C69" w:rsidRPr="00EE792B" w:rsidRDefault="005C0C69" w:rsidP="005C0C69">
      <w:pPr>
        <w:spacing w:after="0" w:line="240" w:lineRule="auto"/>
        <w:rPr>
          <w:rFonts w:ascii="Tahoma" w:eastAsia="Times New Roman" w:hAnsi="Tahoma" w:cs="Tahoma"/>
          <w:b/>
          <w:sz w:val="21"/>
          <w:szCs w:val="21"/>
          <w:lang w:val="es-ES" w:eastAsia="es-ES"/>
        </w:rPr>
      </w:pPr>
    </w:p>
    <w:p w:rsidR="005C0C69" w:rsidRPr="00EE792B" w:rsidRDefault="005C0C69" w:rsidP="005C0C69">
      <w:pPr>
        <w:spacing w:after="0" w:line="240" w:lineRule="auto"/>
        <w:jc w:val="both"/>
        <w:rPr>
          <w:rFonts w:ascii="Tahoma" w:eastAsia="Times New Roman" w:hAnsi="Tahoma" w:cs="Tahoma"/>
          <w:b/>
          <w:sz w:val="21"/>
          <w:szCs w:val="21"/>
          <w:lang w:val="es-ES" w:eastAsia="es-ES"/>
        </w:rPr>
      </w:pPr>
    </w:p>
    <w:p w:rsidR="005C0C69" w:rsidRPr="00EE792B" w:rsidRDefault="005C0C69" w:rsidP="005C0C69">
      <w:pPr>
        <w:spacing w:after="0" w:line="240" w:lineRule="auto"/>
        <w:jc w:val="both"/>
        <w:rPr>
          <w:rFonts w:ascii="Tahoma" w:eastAsia="Times New Roman" w:hAnsi="Tahoma" w:cs="Tahoma"/>
          <w:b/>
          <w:sz w:val="21"/>
          <w:szCs w:val="21"/>
          <w:lang w:val="es-ES" w:eastAsia="es-ES"/>
        </w:rPr>
      </w:pPr>
    </w:p>
    <w:p w:rsidR="005C0C69" w:rsidRPr="00EE792B" w:rsidRDefault="005C0C69" w:rsidP="005C0C69">
      <w:pPr>
        <w:spacing w:after="0" w:line="240" w:lineRule="auto"/>
        <w:jc w:val="both"/>
        <w:rPr>
          <w:rFonts w:ascii="Tahoma" w:eastAsia="Times New Roman" w:hAnsi="Tahoma" w:cs="Tahoma"/>
          <w:sz w:val="21"/>
          <w:szCs w:val="21"/>
          <w:lang w:val="es-ES" w:eastAsia="es-ES"/>
        </w:rPr>
      </w:pPr>
      <w:r w:rsidRPr="00EE792B">
        <w:rPr>
          <w:rFonts w:ascii="Tahoma" w:eastAsia="Times New Roman" w:hAnsi="Tahoma" w:cs="Tahoma"/>
          <w:b/>
          <w:sz w:val="21"/>
          <w:szCs w:val="21"/>
          <w:lang w:val="es-ES" w:eastAsia="es-ES"/>
        </w:rPr>
        <w:t xml:space="preserve">                     VOCAL                                                                                   VOCAL                                                                                   </w:t>
      </w:r>
    </w:p>
    <w:p w:rsidR="005C0C69" w:rsidRPr="00EE792B" w:rsidRDefault="005C0C69" w:rsidP="005C0C69">
      <w:pPr>
        <w:spacing w:after="0" w:line="240" w:lineRule="auto"/>
        <w:jc w:val="both"/>
        <w:rPr>
          <w:rFonts w:ascii="Tahoma" w:eastAsia="Times New Roman" w:hAnsi="Tahoma" w:cs="Tahoma"/>
          <w:sz w:val="21"/>
          <w:szCs w:val="21"/>
          <w:lang w:val="es-ES" w:eastAsia="es-ES"/>
        </w:rPr>
      </w:pPr>
    </w:p>
    <w:p w:rsidR="005C0C69" w:rsidRPr="00EE792B" w:rsidRDefault="005C0C69" w:rsidP="005C0C69">
      <w:pPr>
        <w:spacing w:after="0" w:line="240" w:lineRule="auto"/>
        <w:jc w:val="both"/>
        <w:rPr>
          <w:rFonts w:ascii="Tahoma" w:eastAsia="Times New Roman" w:hAnsi="Tahoma" w:cs="Tahoma"/>
          <w:sz w:val="21"/>
          <w:szCs w:val="21"/>
          <w:lang w:val="es-ES" w:eastAsia="es-ES"/>
        </w:rPr>
      </w:pPr>
    </w:p>
    <w:p w:rsidR="005C0C69" w:rsidRPr="00EE792B" w:rsidRDefault="005C0C69" w:rsidP="005C0C69">
      <w:pPr>
        <w:spacing w:after="0" w:line="240" w:lineRule="auto"/>
        <w:jc w:val="both"/>
        <w:rPr>
          <w:rFonts w:ascii="Tahoma" w:eastAsia="Times New Roman" w:hAnsi="Tahoma" w:cs="Tahoma"/>
          <w:sz w:val="21"/>
          <w:szCs w:val="21"/>
          <w:lang w:val="es-ES" w:eastAsia="es-ES"/>
        </w:rPr>
      </w:pPr>
    </w:p>
    <w:p w:rsidR="005C0C69" w:rsidRPr="00EE792B" w:rsidRDefault="005C0C69" w:rsidP="005C0C69">
      <w:pPr>
        <w:tabs>
          <w:tab w:val="left" w:pos="3544"/>
          <w:tab w:val="left" w:pos="7230"/>
          <w:tab w:val="left" w:pos="8505"/>
        </w:tabs>
        <w:spacing w:after="0" w:line="240" w:lineRule="auto"/>
        <w:ind w:right="-486"/>
        <w:jc w:val="both"/>
        <w:rPr>
          <w:rFonts w:ascii="Tahoma" w:eastAsia="Times New Roman" w:hAnsi="Tahoma" w:cs="Tahoma"/>
          <w:sz w:val="21"/>
          <w:szCs w:val="21"/>
          <w:lang w:val="pt-BR" w:eastAsia="es-ES"/>
        </w:rPr>
      </w:pPr>
      <w:r w:rsidRPr="00EE792B">
        <w:rPr>
          <w:rFonts w:ascii="Tahoma" w:eastAsia="Times New Roman" w:hAnsi="Tahoma" w:cs="Tahoma"/>
          <w:sz w:val="21"/>
          <w:szCs w:val="21"/>
          <w:lang w:val="pt-BR" w:eastAsia="es-ES"/>
        </w:rPr>
        <w:t>ss.</w:t>
      </w:r>
    </w:p>
    <w:p w:rsidR="005C0C69" w:rsidRPr="00EE792B" w:rsidRDefault="005C0C69" w:rsidP="005C0C69">
      <w:pPr>
        <w:tabs>
          <w:tab w:val="left" w:pos="3544"/>
          <w:tab w:val="left" w:pos="7230"/>
          <w:tab w:val="left" w:pos="8505"/>
        </w:tabs>
        <w:spacing w:after="0" w:line="240" w:lineRule="auto"/>
        <w:ind w:right="-486"/>
        <w:jc w:val="both"/>
        <w:rPr>
          <w:rFonts w:ascii="Tahoma" w:eastAsia="Times New Roman" w:hAnsi="Tahoma" w:cs="Tahoma"/>
          <w:sz w:val="21"/>
          <w:szCs w:val="21"/>
          <w:lang w:val="pt-BR" w:eastAsia="es-ES"/>
        </w:rPr>
      </w:pPr>
      <w:r>
        <w:rPr>
          <w:rFonts w:ascii="Tahoma" w:eastAsia="Times New Roman" w:hAnsi="Tahoma" w:cs="Tahoma"/>
          <w:sz w:val="21"/>
          <w:szCs w:val="21"/>
          <w:lang w:val="pt-BR" w:eastAsia="es-ES"/>
        </w:rPr>
        <w:t>Basulto Liewald</w:t>
      </w:r>
      <w:r w:rsidRPr="00EE792B">
        <w:rPr>
          <w:rFonts w:ascii="Tahoma" w:eastAsia="Times New Roman" w:hAnsi="Tahoma" w:cs="Tahoma"/>
          <w:sz w:val="21"/>
          <w:szCs w:val="21"/>
          <w:lang w:val="pt-BR" w:eastAsia="es-ES"/>
        </w:rPr>
        <w:t>.</w:t>
      </w:r>
    </w:p>
    <w:p w:rsidR="005C0C69" w:rsidRPr="0056657A" w:rsidRDefault="005C0C69" w:rsidP="005C0C69">
      <w:pPr>
        <w:tabs>
          <w:tab w:val="left" w:pos="3544"/>
          <w:tab w:val="left" w:pos="7230"/>
          <w:tab w:val="left" w:pos="8505"/>
        </w:tabs>
        <w:spacing w:after="0" w:line="240" w:lineRule="auto"/>
        <w:ind w:right="-486"/>
        <w:jc w:val="both"/>
        <w:rPr>
          <w:rFonts w:ascii="Tahoma" w:eastAsia="Times New Roman" w:hAnsi="Tahoma" w:cs="Tahoma"/>
          <w:b/>
          <w:color w:val="000000"/>
          <w:sz w:val="21"/>
          <w:szCs w:val="21"/>
          <w:lang w:val="es-ES" w:eastAsia="es-ES"/>
        </w:rPr>
      </w:pPr>
      <w:r w:rsidRPr="0056657A">
        <w:rPr>
          <w:rFonts w:ascii="Tahoma" w:eastAsia="Times New Roman" w:hAnsi="Tahoma" w:cs="Tahoma"/>
          <w:b/>
          <w:color w:val="000000"/>
          <w:sz w:val="21"/>
          <w:szCs w:val="21"/>
          <w:lang w:val="es-ES" w:eastAsia="es-ES"/>
        </w:rPr>
        <w:t>Salazar Díaz.</w:t>
      </w:r>
    </w:p>
    <w:p w:rsidR="005C0C69" w:rsidRPr="00EE792B" w:rsidRDefault="00151613" w:rsidP="005C0C69">
      <w:pPr>
        <w:tabs>
          <w:tab w:val="left" w:pos="3544"/>
          <w:tab w:val="left" w:pos="7230"/>
          <w:tab w:val="left" w:pos="8505"/>
        </w:tabs>
        <w:spacing w:after="0" w:line="240" w:lineRule="auto"/>
        <w:ind w:right="-486"/>
        <w:jc w:val="both"/>
        <w:rPr>
          <w:rFonts w:ascii="Tahoma" w:eastAsia="Times New Roman" w:hAnsi="Tahoma" w:cs="Tahoma"/>
          <w:sz w:val="21"/>
          <w:szCs w:val="21"/>
          <w:lang w:val="es-ES" w:eastAsia="es-ES"/>
        </w:rPr>
      </w:pPr>
      <w:r>
        <w:rPr>
          <w:rFonts w:ascii="Tahoma" w:eastAsia="Times New Roman" w:hAnsi="Tahoma" w:cs="Tahoma"/>
          <w:color w:val="000000"/>
          <w:sz w:val="21"/>
          <w:szCs w:val="21"/>
          <w:lang w:val="es-ES" w:eastAsia="es-ES"/>
        </w:rPr>
        <w:t>Isasi Berrospi</w:t>
      </w:r>
      <w:r w:rsidR="005C0C69" w:rsidRPr="00EE792B">
        <w:rPr>
          <w:rFonts w:ascii="Tahoma" w:eastAsia="Times New Roman" w:hAnsi="Tahoma" w:cs="Tahoma"/>
          <w:color w:val="000000"/>
          <w:sz w:val="21"/>
          <w:szCs w:val="21"/>
          <w:lang w:val="es-ES" w:eastAsia="es-ES"/>
        </w:rPr>
        <w:t>.</w:t>
      </w:r>
    </w:p>
    <w:p w:rsidR="005C0C69" w:rsidRPr="00EE792B" w:rsidRDefault="005C0C69" w:rsidP="005C0C69">
      <w:pPr>
        <w:spacing w:after="0" w:line="240" w:lineRule="auto"/>
        <w:jc w:val="both"/>
        <w:rPr>
          <w:rFonts w:ascii="Tahoma" w:eastAsia="Times New Roman" w:hAnsi="Tahoma" w:cs="Tahoma"/>
          <w:sz w:val="21"/>
          <w:szCs w:val="21"/>
          <w:lang w:eastAsia="es-ES"/>
        </w:rPr>
      </w:pPr>
    </w:p>
    <w:p w:rsidR="005C0C69" w:rsidRPr="00EE792B" w:rsidRDefault="005C0C69" w:rsidP="005C0C69">
      <w:pPr>
        <w:rPr>
          <w:rFonts w:ascii="Tahoma" w:hAnsi="Tahoma" w:cs="Tahoma"/>
          <w:sz w:val="21"/>
          <w:szCs w:val="21"/>
        </w:rPr>
      </w:pPr>
    </w:p>
    <w:p w:rsidR="00831D88" w:rsidRDefault="00831D88"/>
    <w:sectPr w:rsidR="00831D88" w:rsidSect="00837AB7">
      <w:headerReference w:type="default" r:id="rId8"/>
      <w:footerReference w:type="default" r:id="rId9"/>
      <w:pgSz w:w="12240" w:h="15840"/>
      <w:pgMar w:top="3544"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AB7" w:rsidRDefault="00837AB7" w:rsidP="00151613">
      <w:pPr>
        <w:spacing w:after="0" w:line="240" w:lineRule="auto"/>
      </w:pPr>
      <w:r>
        <w:separator/>
      </w:r>
    </w:p>
  </w:endnote>
  <w:endnote w:type="continuationSeparator" w:id="1">
    <w:p w:rsidR="00837AB7" w:rsidRDefault="00837AB7" w:rsidP="001516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5E3" w:rsidRDefault="003825E3">
    <w:pPr>
      <w:pStyle w:val="Piedepgina"/>
      <w:jc w:val="center"/>
    </w:pPr>
    <w:r>
      <w:rPr>
        <w:lang w:val="es-ES"/>
      </w:rPr>
      <w:t xml:space="preserve">Página </w:t>
    </w:r>
    <w:r w:rsidR="00792AAC">
      <w:rPr>
        <w:b/>
        <w:bCs/>
        <w:sz w:val="24"/>
        <w:szCs w:val="24"/>
      </w:rPr>
      <w:fldChar w:fldCharType="begin"/>
    </w:r>
    <w:r>
      <w:rPr>
        <w:b/>
        <w:bCs/>
      </w:rPr>
      <w:instrText>PAGE</w:instrText>
    </w:r>
    <w:r w:rsidR="00792AAC">
      <w:rPr>
        <w:b/>
        <w:bCs/>
        <w:sz w:val="24"/>
        <w:szCs w:val="24"/>
      </w:rPr>
      <w:fldChar w:fldCharType="separate"/>
    </w:r>
    <w:r w:rsidR="008B1616">
      <w:rPr>
        <w:b/>
        <w:bCs/>
        <w:noProof/>
      </w:rPr>
      <w:t>1</w:t>
    </w:r>
    <w:r w:rsidR="00792AAC">
      <w:rPr>
        <w:b/>
        <w:bCs/>
        <w:sz w:val="24"/>
        <w:szCs w:val="24"/>
      </w:rPr>
      <w:fldChar w:fldCharType="end"/>
    </w:r>
    <w:r>
      <w:rPr>
        <w:lang w:val="es-ES"/>
      </w:rPr>
      <w:t xml:space="preserve"> de </w:t>
    </w:r>
    <w:r w:rsidR="00792AAC">
      <w:rPr>
        <w:b/>
        <w:bCs/>
        <w:sz w:val="24"/>
        <w:szCs w:val="24"/>
      </w:rPr>
      <w:fldChar w:fldCharType="begin"/>
    </w:r>
    <w:r>
      <w:rPr>
        <w:b/>
        <w:bCs/>
      </w:rPr>
      <w:instrText>NUMPAGES</w:instrText>
    </w:r>
    <w:r w:rsidR="00792AAC">
      <w:rPr>
        <w:b/>
        <w:bCs/>
        <w:sz w:val="24"/>
        <w:szCs w:val="24"/>
      </w:rPr>
      <w:fldChar w:fldCharType="separate"/>
    </w:r>
    <w:r w:rsidR="008B1616">
      <w:rPr>
        <w:b/>
        <w:bCs/>
        <w:noProof/>
      </w:rPr>
      <w:t>16</w:t>
    </w:r>
    <w:r w:rsidR="00792AAC">
      <w:rPr>
        <w:b/>
        <w:bCs/>
        <w:sz w:val="24"/>
        <w:szCs w:val="24"/>
      </w:rPr>
      <w:fldChar w:fldCharType="end"/>
    </w:r>
  </w:p>
  <w:p w:rsidR="003825E3" w:rsidRDefault="003825E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AB7" w:rsidRDefault="00837AB7" w:rsidP="00151613">
      <w:pPr>
        <w:spacing w:after="0" w:line="240" w:lineRule="auto"/>
      </w:pPr>
      <w:r>
        <w:separator/>
      </w:r>
    </w:p>
  </w:footnote>
  <w:footnote w:type="continuationSeparator" w:id="1">
    <w:p w:rsidR="00837AB7" w:rsidRDefault="00837AB7" w:rsidP="00151613">
      <w:pPr>
        <w:spacing w:after="0" w:line="240" w:lineRule="auto"/>
      </w:pPr>
      <w:r>
        <w:continuationSeparator/>
      </w:r>
    </w:p>
  </w:footnote>
  <w:footnote w:id="2">
    <w:p w:rsidR="00151613" w:rsidRPr="004155DE" w:rsidRDefault="00151613" w:rsidP="00151613">
      <w:pPr>
        <w:pStyle w:val="Textonotapie"/>
        <w:rPr>
          <w:rFonts w:ascii="Tahoma" w:hAnsi="Tahoma" w:cs="Tahoma"/>
          <w:sz w:val="18"/>
          <w:szCs w:val="18"/>
        </w:rPr>
      </w:pPr>
      <w:r w:rsidRPr="004155DE">
        <w:rPr>
          <w:rStyle w:val="Refdenotaalpie"/>
          <w:rFonts w:ascii="Tahoma" w:hAnsi="Tahoma" w:cs="Tahoma"/>
          <w:b/>
          <w:sz w:val="18"/>
          <w:szCs w:val="18"/>
        </w:rPr>
        <w:footnoteRef/>
      </w:r>
      <w:r w:rsidRPr="004155DE">
        <w:rPr>
          <w:rFonts w:ascii="Tahoma" w:hAnsi="Tahoma" w:cs="Tahoma"/>
          <w:sz w:val="18"/>
          <w:szCs w:val="18"/>
        </w:rPr>
        <w:t xml:space="preserve"> Aprobado mediante Decreto Supremo Nº 084-2004-PCM</w:t>
      </w:r>
      <w:r>
        <w:rPr>
          <w:rFonts w:ascii="Tahoma" w:hAnsi="Tahoma" w:cs="Tahoma"/>
          <w:sz w:val="18"/>
          <w:szCs w:val="18"/>
        </w:rPr>
        <w:t>.</w:t>
      </w:r>
    </w:p>
  </w:footnote>
  <w:footnote w:id="3">
    <w:p w:rsidR="00151613" w:rsidRPr="003C2A76" w:rsidRDefault="00151613" w:rsidP="00151613">
      <w:pPr>
        <w:pStyle w:val="Textonotapie"/>
        <w:jc w:val="both"/>
        <w:rPr>
          <w:lang w:val="es-PE"/>
        </w:rPr>
      </w:pPr>
      <w:r>
        <w:rPr>
          <w:rStyle w:val="Refdenotaalpie"/>
        </w:rPr>
        <w:footnoteRef/>
      </w:r>
      <w:r>
        <w:t xml:space="preserve"> </w:t>
      </w:r>
      <w:r w:rsidRPr="003C2A76">
        <w:t>Ver Resolución Nº 1017/2005.TC-SU, Resolución Nº 702/2007-TC-S2, Resolución Nº 860/2008-TC-S4, Resolución Nº 1573/2008-TC-S4, Resolución Nº 1808/2008-TC-S4 y Resolución Nº 1610/2008-TC-S4 -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D4B" w:rsidRPr="00051E00" w:rsidRDefault="008B1616" w:rsidP="00837AB7">
    <w:pPr>
      <w:pStyle w:val="NormalWeb"/>
      <w:jc w:val="right"/>
      <w:rPr>
        <w:rFonts w:ascii="Arial Narrow" w:hAnsi="Arial Narrow"/>
        <w:b/>
        <w:bCs/>
        <w:sz w:val="20"/>
        <w:szCs w:val="20"/>
      </w:rPr>
    </w:pPr>
    <w:r>
      <w:rPr>
        <w:rFonts w:ascii="Arial Narrow" w:hAnsi="Arial Narrow"/>
        <w:b/>
        <w:bCs/>
        <w:noProof/>
        <w:sz w:val="20"/>
        <w:szCs w:val="20"/>
      </w:rPr>
      <w:drawing>
        <wp:anchor distT="0" distB="0" distL="114300" distR="114300" simplePos="0" relativeHeight="251657728" behindDoc="0" locked="0" layoutInCell="1" allowOverlap="1">
          <wp:simplePos x="0" y="0"/>
          <wp:positionH relativeFrom="column">
            <wp:posOffset>-546735</wp:posOffset>
          </wp:positionH>
          <wp:positionV relativeFrom="paragraph">
            <wp:posOffset>-87630</wp:posOffset>
          </wp:positionV>
          <wp:extent cx="6524625" cy="600075"/>
          <wp:effectExtent l="19050" t="0" r="9525" b="0"/>
          <wp:wrapSquare wrapText="bothSides"/>
          <wp:docPr id="1" name="Imagen 2"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enbrete"/>
                  <pic:cNvPicPr>
                    <a:picLocks noChangeAspect="1" noChangeArrowheads="1"/>
                  </pic:cNvPicPr>
                </pic:nvPicPr>
                <pic:blipFill>
                  <a:blip r:embed="rId1"/>
                  <a:srcRect/>
                  <a:stretch>
                    <a:fillRect/>
                  </a:stretch>
                </pic:blipFill>
                <pic:spPr bwMode="auto">
                  <a:xfrm>
                    <a:off x="0" y="0"/>
                    <a:ext cx="6524625" cy="600075"/>
                  </a:xfrm>
                  <a:prstGeom prst="rect">
                    <a:avLst/>
                  </a:prstGeom>
                  <a:noFill/>
                  <a:ln w="9525">
                    <a:noFill/>
                    <a:miter lim="800000"/>
                    <a:headEnd/>
                    <a:tailEnd/>
                  </a:ln>
                </pic:spPr>
              </pic:pic>
            </a:graphicData>
          </a:graphic>
        </wp:anchor>
      </w:drawing>
    </w:r>
  </w:p>
  <w:p w:rsidR="00931D4B" w:rsidRDefault="00931D4B" w:rsidP="00837AB7">
    <w:pPr>
      <w:pStyle w:val="NormalWeb"/>
      <w:jc w:val="center"/>
      <w:rPr>
        <w:rFonts w:ascii="Monotype Corsiva" w:hAnsi="Monotype Corsiva"/>
        <w:b/>
        <w:sz w:val="44"/>
        <w:szCs w:val="44"/>
      </w:rPr>
    </w:pPr>
  </w:p>
  <w:p w:rsidR="00931D4B" w:rsidRDefault="00931D4B" w:rsidP="00837AB7">
    <w:pPr>
      <w:pStyle w:val="NormalWeb"/>
      <w:jc w:val="center"/>
      <w:rPr>
        <w:rFonts w:ascii="Monotype Corsiva" w:hAnsi="Monotype Corsiva"/>
        <w:b/>
        <w:sz w:val="44"/>
        <w:szCs w:val="44"/>
      </w:rPr>
    </w:pPr>
  </w:p>
  <w:p w:rsidR="00931D4B" w:rsidRPr="00051E00" w:rsidRDefault="00931D4B" w:rsidP="00837AB7">
    <w:pPr>
      <w:pStyle w:val="NormalWeb"/>
      <w:jc w:val="center"/>
      <w:rPr>
        <w:rFonts w:ascii="Arial Narrow" w:hAnsi="Arial Narrow"/>
        <w:b/>
        <w:bCs/>
        <w:sz w:val="20"/>
        <w:szCs w:val="20"/>
      </w:rPr>
    </w:pPr>
    <w:r w:rsidRPr="00051E00">
      <w:rPr>
        <w:rFonts w:ascii="Monotype Corsiva" w:hAnsi="Monotype Corsiva"/>
        <w:b/>
        <w:sz w:val="44"/>
        <w:szCs w:val="44"/>
      </w:rPr>
      <w:t xml:space="preserve">Resolución Nº   </w:t>
    </w:r>
    <w:r w:rsidR="007C3126">
      <w:rPr>
        <w:rFonts w:ascii="Tahoma" w:hAnsi="Tahoma" w:cs="Tahoma"/>
        <w:b/>
        <w:sz w:val="44"/>
        <w:szCs w:val="44"/>
      </w:rPr>
      <w:t>1525</w:t>
    </w:r>
    <w:r>
      <w:rPr>
        <w:rFonts w:ascii="Tahoma" w:hAnsi="Tahoma" w:cs="Tahoma"/>
        <w:b/>
        <w:sz w:val="44"/>
        <w:szCs w:val="44"/>
      </w:rPr>
      <w:t>-2011-TC-S1</w:t>
    </w:r>
  </w:p>
  <w:p w:rsidR="00931D4B" w:rsidRDefault="00931D4B">
    <w:pPr>
      <w:pStyle w:val="Encabezado"/>
      <w:rPr>
        <w:lang w:val="es-ES"/>
      </w:rPr>
    </w:pPr>
  </w:p>
  <w:p w:rsidR="00931D4B" w:rsidRPr="00931D4B" w:rsidRDefault="00931D4B">
    <w:pPr>
      <w:pStyle w:val="Encabezado"/>
      <w:rPr>
        <w:lang w:val="es-E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A4CB8"/>
    <w:multiLevelType w:val="singleLevel"/>
    <w:tmpl w:val="BE7E6044"/>
    <w:lvl w:ilvl="0">
      <w:start w:val="2"/>
      <w:numFmt w:val="decimal"/>
      <w:lvlText w:val="%1."/>
      <w:legacy w:legacy="1" w:legacySpace="0" w:legacyIndent="360"/>
      <w:lvlJc w:val="left"/>
      <w:rPr>
        <w:rFonts w:ascii="Bookman Old Style" w:hAnsi="Bookman Old Style" w:hint="default"/>
        <w:b/>
      </w:rPr>
    </w:lvl>
  </w:abstractNum>
  <w:abstractNum w:abstractNumId="1">
    <w:nsid w:val="0C747D64"/>
    <w:multiLevelType w:val="hybridMultilevel"/>
    <w:tmpl w:val="7F9E2D08"/>
    <w:lvl w:ilvl="0" w:tplc="009CB14A">
      <w:start w:val="1"/>
      <w:numFmt w:val="decimal"/>
      <w:lvlText w:val="%1."/>
      <w:lvlJc w:val="left"/>
      <w:pPr>
        <w:tabs>
          <w:tab w:val="num" w:pos="360"/>
        </w:tabs>
        <w:ind w:left="360" w:hanging="360"/>
      </w:pPr>
      <w:rPr>
        <w:rFonts w:ascii="Tahoma" w:hAnsi="Tahoma" w:hint="default"/>
        <w:b/>
        <w:i w:val="0"/>
        <w:sz w:val="20"/>
        <w:szCs w:val="24"/>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360"/>
        </w:tabs>
        <w:ind w:left="-360" w:hanging="180"/>
      </w:pPr>
    </w:lvl>
    <w:lvl w:ilvl="3" w:tplc="0C0A000F">
      <w:start w:val="1"/>
      <w:numFmt w:val="decimal"/>
      <w:lvlText w:val="%4."/>
      <w:lvlJc w:val="left"/>
      <w:pPr>
        <w:tabs>
          <w:tab w:val="num" w:pos="360"/>
        </w:tabs>
        <w:ind w:left="360" w:hanging="360"/>
      </w:pPr>
    </w:lvl>
    <w:lvl w:ilvl="4" w:tplc="0C0A0019" w:tentative="1">
      <w:start w:val="1"/>
      <w:numFmt w:val="lowerLetter"/>
      <w:lvlText w:val="%5."/>
      <w:lvlJc w:val="left"/>
      <w:pPr>
        <w:tabs>
          <w:tab w:val="num" w:pos="1080"/>
        </w:tabs>
        <w:ind w:left="1080" w:hanging="360"/>
      </w:pPr>
    </w:lvl>
    <w:lvl w:ilvl="5" w:tplc="0C0A001B" w:tentative="1">
      <w:start w:val="1"/>
      <w:numFmt w:val="lowerRoman"/>
      <w:lvlText w:val="%6."/>
      <w:lvlJc w:val="right"/>
      <w:pPr>
        <w:tabs>
          <w:tab w:val="num" w:pos="1800"/>
        </w:tabs>
        <w:ind w:left="1800" w:hanging="180"/>
      </w:pPr>
    </w:lvl>
    <w:lvl w:ilvl="6" w:tplc="0C0A000F" w:tentative="1">
      <w:start w:val="1"/>
      <w:numFmt w:val="decimal"/>
      <w:lvlText w:val="%7."/>
      <w:lvlJc w:val="left"/>
      <w:pPr>
        <w:tabs>
          <w:tab w:val="num" w:pos="2520"/>
        </w:tabs>
        <w:ind w:left="2520" w:hanging="360"/>
      </w:pPr>
    </w:lvl>
    <w:lvl w:ilvl="7" w:tplc="0C0A0019" w:tentative="1">
      <w:start w:val="1"/>
      <w:numFmt w:val="lowerLetter"/>
      <w:lvlText w:val="%8."/>
      <w:lvlJc w:val="left"/>
      <w:pPr>
        <w:tabs>
          <w:tab w:val="num" w:pos="3240"/>
        </w:tabs>
        <w:ind w:left="3240" w:hanging="360"/>
      </w:pPr>
    </w:lvl>
    <w:lvl w:ilvl="8" w:tplc="0C0A001B" w:tentative="1">
      <w:start w:val="1"/>
      <w:numFmt w:val="lowerRoman"/>
      <w:lvlText w:val="%9."/>
      <w:lvlJc w:val="right"/>
      <w:pPr>
        <w:tabs>
          <w:tab w:val="num" w:pos="3960"/>
        </w:tabs>
        <w:ind w:left="3960" w:hanging="180"/>
      </w:pPr>
    </w:lvl>
  </w:abstractNum>
  <w:abstractNum w:abstractNumId="2">
    <w:nsid w:val="26DC6D0E"/>
    <w:multiLevelType w:val="singleLevel"/>
    <w:tmpl w:val="6DEA347C"/>
    <w:lvl w:ilvl="0">
      <w:start w:val="1"/>
      <w:numFmt w:val="lowerRoman"/>
      <w:lvlText w:val="(%1)"/>
      <w:legacy w:legacy="1" w:legacySpace="0" w:legacyIndent="360"/>
      <w:lvlJc w:val="left"/>
      <w:rPr>
        <w:rFonts w:ascii="Bookman Old Style" w:hAnsi="Bookman Old Style" w:hint="default"/>
        <w:b/>
      </w:rPr>
    </w:lvl>
  </w:abstractNum>
  <w:abstractNum w:abstractNumId="3">
    <w:nsid w:val="2F405F8A"/>
    <w:multiLevelType w:val="hybridMultilevel"/>
    <w:tmpl w:val="045CBD40"/>
    <w:lvl w:ilvl="0" w:tplc="C20CEB18">
      <w:start w:val="1"/>
      <w:numFmt w:val="lowerRoman"/>
      <w:lvlText w:val="%1."/>
      <w:lvlJc w:val="left"/>
      <w:pPr>
        <w:ind w:left="720" w:hanging="360"/>
      </w:pPr>
      <w:rPr>
        <w:rFonts w:hint="default"/>
        <w:b/>
        <w:sz w:val="19"/>
        <w:szCs w:val="19"/>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nsid w:val="42365924"/>
    <w:multiLevelType w:val="multilevel"/>
    <w:tmpl w:val="111A62D4"/>
    <w:lvl w:ilvl="0">
      <w:start w:val="4"/>
      <w:numFmt w:val="decimal"/>
      <w:lvlText w:val="%1"/>
      <w:lvlJc w:val="left"/>
      <w:pPr>
        <w:ind w:left="360" w:hanging="360"/>
      </w:pPr>
      <w:rPr>
        <w:rFonts w:hint="default"/>
        <w:i w:val="0"/>
      </w:rPr>
    </w:lvl>
    <w:lvl w:ilvl="1">
      <w:start w:val="2"/>
      <w:numFmt w:val="decimal"/>
      <w:lvlText w:val="%1.%2"/>
      <w:lvlJc w:val="left"/>
      <w:pPr>
        <w:ind w:left="1854" w:hanging="720"/>
      </w:pPr>
      <w:rPr>
        <w:rFonts w:hint="default"/>
        <w:i w:val="0"/>
      </w:rPr>
    </w:lvl>
    <w:lvl w:ilvl="2">
      <w:start w:val="1"/>
      <w:numFmt w:val="decimal"/>
      <w:lvlText w:val="%1.%2.%3"/>
      <w:lvlJc w:val="left"/>
      <w:pPr>
        <w:ind w:left="3348" w:hanging="1080"/>
      </w:pPr>
      <w:rPr>
        <w:rFonts w:hint="default"/>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5">
    <w:nsid w:val="45407604"/>
    <w:multiLevelType w:val="multilevel"/>
    <w:tmpl w:val="B470CF44"/>
    <w:lvl w:ilvl="0">
      <w:start w:val="1"/>
      <w:numFmt w:val="decimal"/>
      <w:lvlText w:val="%1"/>
      <w:lvlJc w:val="left"/>
      <w:pPr>
        <w:ind w:left="675" w:hanging="675"/>
      </w:pPr>
      <w:rPr>
        <w:rFonts w:hint="default"/>
      </w:rPr>
    </w:lvl>
    <w:lvl w:ilvl="1">
      <w:start w:val="1"/>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81F166E"/>
    <w:multiLevelType w:val="multilevel"/>
    <w:tmpl w:val="51A8EC8E"/>
    <w:lvl w:ilvl="0">
      <w:start w:val="3"/>
      <w:numFmt w:val="decimal"/>
      <w:lvlText w:val="%1"/>
      <w:lvlJc w:val="left"/>
      <w:pPr>
        <w:ind w:left="360" w:hanging="360"/>
      </w:pPr>
      <w:rPr>
        <w:rFonts w:hint="default"/>
        <w:i w:val="0"/>
      </w:rPr>
    </w:lvl>
    <w:lvl w:ilvl="1">
      <w:start w:val="9"/>
      <w:numFmt w:val="decimal"/>
      <w:lvlText w:val="%1.%2"/>
      <w:lvlJc w:val="left"/>
      <w:pPr>
        <w:ind w:left="1854" w:hanging="720"/>
      </w:pPr>
      <w:rPr>
        <w:rFonts w:hint="default"/>
        <w:i w:val="0"/>
      </w:rPr>
    </w:lvl>
    <w:lvl w:ilvl="2">
      <w:start w:val="1"/>
      <w:numFmt w:val="decimal"/>
      <w:lvlText w:val="%1.%2.%3"/>
      <w:lvlJc w:val="left"/>
      <w:pPr>
        <w:ind w:left="3348" w:hanging="1080"/>
      </w:pPr>
      <w:rPr>
        <w:rFonts w:hint="default"/>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7">
    <w:nsid w:val="4CBF6ED7"/>
    <w:multiLevelType w:val="multilevel"/>
    <w:tmpl w:val="EB76BB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CE362BF"/>
    <w:multiLevelType w:val="hybridMultilevel"/>
    <w:tmpl w:val="9C68F158"/>
    <w:lvl w:ilvl="0" w:tplc="4FCEEAE6">
      <w:start w:val="1"/>
      <w:numFmt w:val="lowerRoman"/>
      <w:lvlText w:val="(%1)"/>
      <w:lvlJc w:val="left"/>
      <w:pPr>
        <w:ind w:left="1287" w:hanging="360"/>
      </w:pPr>
      <w:rPr>
        <w:rFonts w:hint="default"/>
        <w:b/>
        <w:sz w:val="20"/>
        <w:szCs w:val="2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9">
    <w:nsid w:val="4CE64BA0"/>
    <w:multiLevelType w:val="hybridMultilevel"/>
    <w:tmpl w:val="1F1253C2"/>
    <w:lvl w:ilvl="0" w:tplc="4FCEEAE6">
      <w:start w:val="1"/>
      <w:numFmt w:val="lowerRoman"/>
      <w:lvlText w:val="(%1)"/>
      <w:lvlJc w:val="left"/>
      <w:pPr>
        <w:ind w:left="928" w:hanging="360"/>
      </w:pPr>
      <w:rPr>
        <w:rFonts w:hint="default"/>
        <w:b/>
        <w:sz w:val="20"/>
        <w:szCs w:val="2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nsid w:val="5C3F1D62"/>
    <w:multiLevelType w:val="hybridMultilevel"/>
    <w:tmpl w:val="B3122DF8"/>
    <w:lvl w:ilvl="0" w:tplc="FDEE1C1A">
      <w:start w:val="1"/>
      <w:numFmt w:val="decimal"/>
      <w:lvlText w:val="%1."/>
      <w:lvlJc w:val="left"/>
      <w:pPr>
        <w:tabs>
          <w:tab w:val="num" w:pos="454"/>
        </w:tabs>
        <w:ind w:left="454" w:hanging="454"/>
      </w:pPr>
      <w:rPr>
        <w:rFonts w:ascii="Tahoma" w:hAnsi="Tahoma" w:cs="Tahoma" w:hint="default"/>
        <w:b/>
        <w:i w:val="0"/>
        <w:shadow w:val="0"/>
        <w:sz w:val="21"/>
        <w:szCs w:val="21"/>
        <w:u w:color="FFFFFF"/>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5DAE2F2F"/>
    <w:multiLevelType w:val="hybridMultilevel"/>
    <w:tmpl w:val="501C93BE"/>
    <w:lvl w:ilvl="0" w:tplc="5CAE0190">
      <w:start w:val="2"/>
      <w:numFmt w:val="decimal"/>
      <w:lvlText w:val="%1."/>
      <w:lvlJc w:val="left"/>
      <w:pPr>
        <w:tabs>
          <w:tab w:val="num" w:pos="720"/>
        </w:tabs>
        <w:ind w:left="720" w:hanging="360"/>
      </w:pPr>
      <w:rPr>
        <w:rFonts w:hint="default"/>
        <w:b/>
        <w:shadow/>
        <w:sz w:val="21"/>
        <w:szCs w:val="21"/>
      </w:rPr>
    </w:lvl>
    <w:lvl w:ilvl="1" w:tplc="525E55C6">
      <w:start w:val="1"/>
      <w:numFmt w:val="lowerRoman"/>
      <w:lvlText w:val="(%2)"/>
      <w:lvlJc w:val="left"/>
      <w:pPr>
        <w:tabs>
          <w:tab w:val="num" w:pos="1800"/>
        </w:tabs>
        <w:ind w:left="1800" w:hanging="720"/>
      </w:pPr>
      <w:rPr>
        <w:rFonts w:hint="default"/>
        <w:b/>
        <w:shadow/>
      </w:rPr>
    </w:lvl>
    <w:lvl w:ilvl="2" w:tplc="E7986404">
      <w:start w:val="2"/>
      <w:numFmt w:val="bullet"/>
      <w:lvlText w:val="-"/>
      <w:lvlJc w:val="left"/>
      <w:pPr>
        <w:tabs>
          <w:tab w:val="num" w:pos="928"/>
        </w:tabs>
        <w:ind w:left="928" w:hanging="360"/>
      </w:pPr>
      <w:rPr>
        <w:rFonts w:ascii="Bookman Old Style" w:eastAsia="Times New Roman" w:hAnsi="Bookman Old Style" w:cs="Arial" w:hint="default"/>
      </w:rPr>
    </w:lvl>
    <w:lvl w:ilvl="3" w:tplc="87066598">
      <w:start w:val="1"/>
      <w:numFmt w:val="lowerLetter"/>
      <w:lvlText w:val="%4)"/>
      <w:lvlJc w:val="left"/>
      <w:pPr>
        <w:tabs>
          <w:tab w:val="num" w:pos="2880"/>
        </w:tabs>
        <w:ind w:left="2880" w:hanging="360"/>
      </w:pPr>
      <w:rPr>
        <w:rFonts w:hint="default"/>
        <w:b w:val="0"/>
        <w:sz w:val="21"/>
        <w:szCs w:val="21"/>
      </w:rPr>
    </w:lvl>
    <w:lvl w:ilvl="4" w:tplc="0C0A0017">
      <w:start w:val="1"/>
      <w:numFmt w:val="lowerLetter"/>
      <w:lvlText w:val="%5)"/>
      <w:lvlJc w:val="left"/>
      <w:pPr>
        <w:tabs>
          <w:tab w:val="num" w:pos="3600"/>
        </w:tabs>
        <w:ind w:left="3600" w:hanging="360"/>
      </w:pPr>
      <w:rPr>
        <w:rFonts w:hint="default"/>
        <w:b/>
        <w:sz w:val="21"/>
        <w:szCs w:val="21"/>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61C1635E"/>
    <w:multiLevelType w:val="hybridMultilevel"/>
    <w:tmpl w:val="00C4A020"/>
    <w:lvl w:ilvl="0" w:tplc="0E60BC44">
      <w:start w:val="1"/>
      <w:numFmt w:val="decimal"/>
      <w:lvlText w:val="%1."/>
      <w:lvlJc w:val="left"/>
      <w:pPr>
        <w:tabs>
          <w:tab w:val="num" w:pos="720"/>
        </w:tabs>
        <w:ind w:left="720" w:hanging="360"/>
      </w:pPr>
      <w:rPr>
        <w:rFonts w:hint="default"/>
        <w:b/>
        <w:i w:val="0"/>
        <w:sz w:val="24"/>
        <w:szCs w:val="24"/>
        <w:lang w:val="es-ES"/>
      </w:rPr>
    </w:lvl>
    <w:lvl w:ilvl="1" w:tplc="0C0A0019">
      <w:start w:val="1"/>
      <w:numFmt w:val="lowerLetter"/>
      <w:lvlText w:val="%2."/>
      <w:lvlJc w:val="left"/>
      <w:pPr>
        <w:tabs>
          <w:tab w:val="num" w:pos="1440"/>
        </w:tabs>
        <w:ind w:left="1440" w:hanging="360"/>
      </w:pPr>
    </w:lvl>
    <w:lvl w:ilvl="2" w:tplc="26529156">
      <w:start w:val="4"/>
      <w:numFmt w:val="upp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688334D8"/>
    <w:multiLevelType w:val="hybridMultilevel"/>
    <w:tmpl w:val="236EB15E"/>
    <w:lvl w:ilvl="0" w:tplc="DD0CB504">
      <w:start w:val="1"/>
      <w:numFmt w:val="decimal"/>
      <w:lvlText w:val="%1."/>
      <w:lvlJc w:val="left"/>
      <w:pPr>
        <w:tabs>
          <w:tab w:val="num" w:pos="454"/>
        </w:tabs>
        <w:ind w:left="454" w:hanging="454"/>
      </w:pPr>
      <w:rPr>
        <w:rFonts w:ascii="Tahoma" w:hAnsi="Tahoma" w:cs="Tahoma" w:hint="default"/>
        <w:b/>
        <w:i w:val="0"/>
        <w:shadow w:val="0"/>
        <w:sz w:val="21"/>
        <w:szCs w:val="21"/>
        <w:u w:color="FFFFFF"/>
      </w:rPr>
    </w:lvl>
    <w:lvl w:ilvl="1" w:tplc="D59E9E78">
      <w:start w:val="1"/>
      <w:numFmt w:val="lowerLetter"/>
      <w:lvlText w:val="%2."/>
      <w:lvlJc w:val="left"/>
      <w:pPr>
        <w:tabs>
          <w:tab w:val="num" w:pos="1440"/>
        </w:tabs>
        <w:ind w:left="1440" w:hanging="360"/>
      </w:pPr>
      <w:rPr>
        <w:rFonts w:hint="default"/>
        <w:b/>
        <w:i w:val="0"/>
        <w:shadow w:val="0"/>
        <w:sz w:val="22"/>
        <w:szCs w:val="22"/>
        <w:u w:color="FFFFFF"/>
      </w:rPr>
    </w:lvl>
    <w:lvl w:ilvl="2" w:tplc="0C0A001B">
      <w:start w:val="1"/>
      <w:numFmt w:val="lowerRoman"/>
      <w:lvlText w:val="%3."/>
      <w:lvlJc w:val="right"/>
      <w:pPr>
        <w:tabs>
          <w:tab w:val="num" w:pos="2160"/>
        </w:tabs>
        <w:ind w:left="2160" w:hanging="180"/>
      </w:pPr>
    </w:lvl>
    <w:lvl w:ilvl="3" w:tplc="11961546">
      <w:numFmt w:val="bullet"/>
      <w:lvlText w:val="-"/>
      <w:lvlJc w:val="left"/>
      <w:pPr>
        <w:tabs>
          <w:tab w:val="num" w:pos="2880"/>
        </w:tabs>
        <w:ind w:left="2880" w:hanging="360"/>
      </w:pPr>
      <w:rPr>
        <w:rFonts w:ascii="Tahoma" w:eastAsia="Times New Roman" w:hAnsi="Tahoma" w:cs="Tahoma"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784950CE"/>
    <w:multiLevelType w:val="hybridMultilevel"/>
    <w:tmpl w:val="6638FD64"/>
    <w:lvl w:ilvl="0" w:tplc="434C3B9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7E2A5D59"/>
    <w:multiLevelType w:val="singleLevel"/>
    <w:tmpl w:val="CC788D46"/>
    <w:lvl w:ilvl="0">
      <w:start w:val="2"/>
      <w:numFmt w:val="lowerRoman"/>
      <w:lvlText w:val="(%1)"/>
      <w:legacy w:legacy="1" w:legacySpace="0" w:legacyIndent="360"/>
      <w:lvlJc w:val="left"/>
      <w:rPr>
        <w:rFonts w:ascii="Bookman Old Style" w:hAnsi="Bookman Old Style" w:hint="default"/>
        <w:b/>
      </w:rPr>
    </w:lvl>
  </w:abstractNum>
  <w:num w:numId="1">
    <w:abstractNumId w:val="11"/>
  </w:num>
  <w:num w:numId="2">
    <w:abstractNumId w:val="14"/>
  </w:num>
  <w:num w:numId="3">
    <w:abstractNumId w:val="8"/>
  </w:num>
  <w:num w:numId="4">
    <w:abstractNumId w:val="7"/>
  </w:num>
  <w:num w:numId="5">
    <w:abstractNumId w:val="5"/>
  </w:num>
  <w:num w:numId="6">
    <w:abstractNumId w:val="13"/>
  </w:num>
  <w:num w:numId="7">
    <w:abstractNumId w:val="10"/>
  </w:num>
  <w:num w:numId="8">
    <w:abstractNumId w:val="6"/>
  </w:num>
  <w:num w:numId="9">
    <w:abstractNumId w:val="4"/>
  </w:num>
  <w:num w:numId="10">
    <w:abstractNumId w:val="9"/>
  </w:num>
  <w:num w:numId="11">
    <w:abstractNumId w:val="12"/>
  </w:num>
  <w:num w:numId="12">
    <w:abstractNumId w:val="0"/>
  </w:num>
  <w:num w:numId="13">
    <w:abstractNumId w:val="2"/>
  </w:num>
  <w:num w:numId="14">
    <w:abstractNumId w:val="15"/>
  </w:num>
  <w:num w:numId="15">
    <w:abstractNumId w:val="3"/>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5C0C69"/>
    <w:rsid w:val="00151613"/>
    <w:rsid w:val="00195E66"/>
    <w:rsid w:val="003825E3"/>
    <w:rsid w:val="005C0C69"/>
    <w:rsid w:val="00766618"/>
    <w:rsid w:val="00792AAC"/>
    <w:rsid w:val="007C3126"/>
    <w:rsid w:val="00831D88"/>
    <w:rsid w:val="00837AB7"/>
    <w:rsid w:val="008B1616"/>
    <w:rsid w:val="00931D4B"/>
    <w:rsid w:val="00B6045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C69"/>
    <w:pPr>
      <w:spacing w:after="200" w:line="276" w:lineRule="auto"/>
    </w:pPr>
    <w:rPr>
      <w:sz w:val="22"/>
      <w:szCs w:val="22"/>
      <w:lang w:val="es-PE"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5C0C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5C0C69"/>
    <w:pPr>
      <w:ind w:left="720"/>
      <w:contextualSpacing/>
    </w:pPr>
  </w:style>
  <w:style w:type="paragraph" w:styleId="Textonotapie">
    <w:name w:val="footnote text"/>
    <w:basedOn w:val="Normal"/>
    <w:link w:val="TextonotapieCar"/>
    <w:rsid w:val="00151613"/>
    <w:pPr>
      <w:spacing w:after="0" w:line="240" w:lineRule="auto"/>
    </w:pPr>
    <w:rPr>
      <w:rFonts w:ascii="Times New Roman" w:eastAsia="Times New Roman" w:hAnsi="Times New Roman"/>
      <w:sz w:val="20"/>
      <w:szCs w:val="20"/>
      <w:lang w:val="es-ES" w:eastAsia="es-PE"/>
    </w:rPr>
  </w:style>
  <w:style w:type="character" w:customStyle="1" w:styleId="TextonotapieCar">
    <w:name w:val="Texto nota pie Car"/>
    <w:basedOn w:val="Fuentedeprrafopredeter"/>
    <w:link w:val="Textonotapie"/>
    <w:rsid w:val="00151613"/>
    <w:rPr>
      <w:rFonts w:ascii="Times New Roman" w:eastAsia="Times New Roman" w:hAnsi="Times New Roman" w:cs="Times New Roman"/>
      <w:sz w:val="20"/>
      <w:szCs w:val="20"/>
      <w:lang w:val="es-ES" w:eastAsia="es-PE"/>
    </w:rPr>
  </w:style>
  <w:style w:type="character" w:styleId="Refdenotaalpie">
    <w:name w:val="footnote reference"/>
    <w:basedOn w:val="Fuentedeprrafopredeter"/>
    <w:rsid w:val="00151613"/>
    <w:rPr>
      <w:vertAlign w:val="superscript"/>
    </w:rPr>
  </w:style>
  <w:style w:type="paragraph" w:styleId="Encabezado">
    <w:name w:val="header"/>
    <w:basedOn w:val="Normal"/>
    <w:link w:val="EncabezadoCar"/>
    <w:uiPriority w:val="99"/>
    <w:unhideWhenUsed/>
    <w:rsid w:val="003825E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825E3"/>
  </w:style>
  <w:style w:type="paragraph" w:styleId="Piedepgina">
    <w:name w:val="footer"/>
    <w:basedOn w:val="Normal"/>
    <w:link w:val="PiedepginaCar"/>
    <w:uiPriority w:val="99"/>
    <w:unhideWhenUsed/>
    <w:rsid w:val="003825E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825E3"/>
  </w:style>
  <w:style w:type="paragraph" w:styleId="Textodeglobo">
    <w:name w:val="Balloon Text"/>
    <w:basedOn w:val="Normal"/>
    <w:link w:val="TextodegloboCar"/>
    <w:uiPriority w:val="99"/>
    <w:semiHidden/>
    <w:unhideWhenUsed/>
    <w:rsid w:val="003825E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825E3"/>
    <w:rPr>
      <w:rFonts w:ascii="Tahoma" w:hAnsi="Tahoma" w:cs="Tahoma"/>
      <w:sz w:val="16"/>
      <w:szCs w:val="16"/>
    </w:rPr>
  </w:style>
  <w:style w:type="paragraph" w:styleId="NormalWeb">
    <w:name w:val="Normal (Web)"/>
    <w:basedOn w:val="Normal"/>
    <w:uiPriority w:val="99"/>
    <w:unhideWhenUsed/>
    <w:rsid w:val="00931D4B"/>
    <w:pPr>
      <w:spacing w:after="0" w:line="240" w:lineRule="auto"/>
    </w:pPr>
    <w:rPr>
      <w:rFonts w:ascii="Arial" w:eastAsia="Times New Roman" w:hAnsi="Arial" w:cs="Arial"/>
      <w:sz w:val="16"/>
      <w:szCs w:val="16"/>
      <w:lang w:val="es-ES" w:eastAsia="es-ES"/>
    </w:rPr>
  </w:style>
  <w:style w:type="paragraph" w:styleId="Textoindependiente3">
    <w:name w:val="Body Text 3"/>
    <w:basedOn w:val="Normal"/>
    <w:link w:val="Textoindependiente3Car"/>
    <w:uiPriority w:val="99"/>
    <w:rsid w:val="00931D4B"/>
    <w:pPr>
      <w:spacing w:after="120" w:line="240" w:lineRule="auto"/>
    </w:pPr>
    <w:rPr>
      <w:rFonts w:ascii="Times New Roman" w:eastAsia="Times New Roman" w:hAnsi="Times New Roman"/>
      <w:sz w:val="16"/>
      <w:szCs w:val="16"/>
      <w:lang w:eastAsia="es-ES"/>
    </w:rPr>
  </w:style>
  <w:style w:type="character" w:customStyle="1" w:styleId="Textoindependiente3Car">
    <w:name w:val="Texto independiente 3 Car"/>
    <w:basedOn w:val="Fuentedeprrafopredeter"/>
    <w:link w:val="Textoindependiente3"/>
    <w:uiPriority w:val="99"/>
    <w:rsid w:val="00931D4B"/>
    <w:rPr>
      <w:rFonts w:ascii="Times New Roman" w:eastAsia="Times New Roman" w:hAnsi="Times New Roman" w:cs="Times New Roman"/>
      <w:sz w:val="16"/>
      <w:szCs w:val="16"/>
      <w:lang w:eastAsia="es-E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13D57-B6EF-4B2B-89F0-DAB6F20AC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5234</Words>
  <Characters>28787</Characters>
  <Application>Microsoft Office Word</Application>
  <DocSecurity>4</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del Carmen Negreiros Andrade</dc:creator>
  <cp:keywords/>
  <cp:lastModifiedBy>bcaceres</cp:lastModifiedBy>
  <cp:revision>2</cp:revision>
  <cp:lastPrinted>2011-09-20T21:33:00Z</cp:lastPrinted>
  <dcterms:created xsi:type="dcterms:W3CDTF">2011-10-07T15:27:00Z</dcterms:created>
  <dcterms:modified xsi:type="dcterms:W3CDTF">2011-10-07T15:27:00Z</dcterms:modified>
</cp:coreProperties>
</file>